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2A4" w:rsidRPr="006B62A4" w:rsidRDefault="006B62A4" w:rsidP="006B62A4">
      <w:pPr>
        <w:keepNext/>
        <w:keepLines/>
        <w:spacing w:before="40" w:after="0" w:line="240" w:lineRule="auto"/>
        <w:jc w:val="both"/>
        <w:outlineLvl w:val="1"/>
        <w:rPr>
          <w:rFonts w:ascii="Cambria" w:eastAsia="Times New Roman" w:hAnsi="Cambria" w:cs="Times New Roman"/>
          <w:color w:val="365F91"/>
          <w:sz w:val="26"/>
          <w:szCs w:val="26"/>
          <w:lang w:val="en-US" w:eastAsia="en-GB"/>
        </w:rPr>
      </w:pPr>
      <w:bookmarkStart w:id="0" w:name="_Toc65059543"/>
      <w:bookmarkStart w:id="1" w:name="_GoBack"/>
      <w:bookmarkEnd w:id="1"/>
      <w:r w:rsidRPr="006B62A4">
        <w:rPr>
          <w:rFonts w:ascii="Cambria" w:eastAsia="Times New Roman" w:hAnsi="Cambria" w:cs="Times New Roman"/>
          <w:color w:val="365F91"/>
          <w:sz w:val="26"/>
          <w:szCs w:val="26"/>
          <w:lang w:val="en-US" w:eastAsia="en-GB"/>
        </w:rPr>
        <w:t xml:space="preserve">Annex </w:t>
      </w:r>
      <w:bookmarkEnd w:id="0"/>
      <w:r w:rsidR="00A759FD">
        <w:rPr>
          <w:rFonts w:ascii="Cambria" w:eastAsia="Times New Roman" w:hAnsi="Cambria" w:cs="Times New Roman"/>
          <w:color w:val="365F91"/>
          <w:sz w:val="26"/>
          <w:szCs w:val="26"/>
          <w:lang w:val="en-US" w:eastAsia="en-GB"/>
        </w:rPr>
        <w:t>5 (AL)</w:t>
      </w:r>
    </w:p>
    <w:p w:rsidR="006B62A4" w:rsidRPr="006B62A4" w:rsidRDefault="006B62A4" w:rsidP="006B62A4">
      <w:pPr>
        <w:spacing w:after="0" w:line="240" w:lineRule="auto"/>
        <w:jc w:val="center"/>
        <w:rPr>
          <w:rFonts w:ascii="Times New Roman" w:eastAsia="Times New Roman" w:hAnsi="Times New Roman" w:cs="Times New Roman"/>
          <w:b/>
          <w:sz w:val="28"/>
          <w:szCs w:val="28"/>
          <w:lang w:val="en-US" w:eastAsia="en-GB"/>
        </w:rPr>
      </w:pPr>
      <w:r w:rsidRPr="006B62A4">
        <w:rPr>
          <w:rFonts w:ascii="Times New Roman" w:eastAsia="Times New Roman" w:hAnsi="Times New Roman" w:cs="Times New Roman"/>
          <w:b/>
          <w:sz w:val="28"/>
          <w:szCs w:val="28"/>
          <w:lang w:val="en-US" w:eastAsia="en-GB"/>
        </w:rPr>
        <w:t xml:space="preserve">Checklist </w:t>
      </w:r>
    </w:p>
    <w:p w:rsidR="006B62A4" w:rsidRPr="006B62A4" w:rsidRDefault="006B62A4" w:rsidP="006B62A4">
      <w:pPr>
        <w:spacing w:after="0" w:line="240" w:lineRule="auto"/>
        <w:jc w:val="center"/>
        <w:rPr>
          <w:rFonts w:ascii="Times New Roman" w:eastAsia="Times New Roman" w:hAnsi="Times New Roman" w:cs="Times New Roman"/>
          <w:b/>
          <w:sz w:val="28"/>
          <w:szCs w:val="28"/>
          <w:lang w:val="en-US" w:eastAsia="en-GB"/>
        </w:rPr>
      </w:pPr>
      <w:proofErr w:type="gramStart"/>
      <w:r w:rsidRPr="006B62A4">
        <w:rPr>
          <w:rFonts w:ascii="Times New Roman" w:eastAsia="Times New Roman" w:hAnsi="Times New Roman" w:cs="Times New Roman"/>
          <w:b/>
          <w:sz w:val="28"/>
          <w:szCs w:val="28"/>
          <w:lang w:val="en-US" w:eastAsia="en-GB"/>
        </w:rPr>
        <w:t>on</w:t>
      </w:r>
      <w:proofErr w:type="gramEnd"/>
      <w:r w:rsidRPr="006B62A4">
        <w:rPr>
          <w:rFonts w:ascii="Times New Roman" w:eastAsia="Times New Roman" w:hAnsi="Times New Roman" w:cs="Times New Roman"/>
          <w:b/>
          <w:sz w:val="28"/>
          <w:szCs w:val="28"/>
          <w:lang w:val="en-US" w:eastAsia="en-GB"/>
        </w:rPr>
        <w:t xml:space="preserve"> the application of a restriction under Article 25 in a concrete case</w:t>
      </w:r>
    </w:p>
    <w:p w:rsidR="006B62A4" w:rsidRPr="006B62A4" w:rsidRDefault="006B62A4" w:rsidP="006B62A4">
      <w:pPr>
        <w:spacing w:after="0" w:line="240" w:lineRule="auto"/>
        <w:rPr>
          <w:rFonts w:ascii="Times New Roman" w:eastAsia="Times New Roman" w:hAnsi="Times New Roman" w:cs="Times New Roman"/>
          <w:lang w:val="en-US" w:eastAsia="en-GB"/>
        </w:rPr>
      </w:pPr>
    </w:p>
    <w:tbl>
      <w:tblPr>
        <w:tblStyle w:val="TableGrid1"/>
        <w:tblW w:w="0" w:type="auto"/>
        <w:tblInd w:w="0" w:type="dxa"/>
        <w:tblLook w:val="04A0" w:firstRow="1" w:lastRow="0" w:firstColumn="1" w:lastColumn="0" w:noHBand="0" w:noVBand="1"/>
      </w:tblPr>
      <w:tblGrid>
        <w:gridCol w:w="796"/>
        <w:gridCol w:w="2618"/>
        <w:gridCol w:w="3029"/>
        <w:gridCol w:w="2617"/>
      </w:tblGrid>
      <w:tr w:rsidR="006B62A4" w:rsidRPr="006B62A4" w:rsidTr="00954D07">
        <w:tc>
          <w:tcPr>
            <w:tcW w:w="846" w:type="dxa"/>
          </w:tcPr>
          <w:p w:rsidR="006B62A4" w:rsidRPr="006B62A4" w:rsidRDefault="006B62A4" w:rsidP="006B62A4">
            <w:pPr>
              <w:jc w:val="center"/>
              <w:rPr>
                <w:rFonts w:ascii="Times New Roman" w:eastAsia="Calibri" w:hAnsi="Times New Roman"/>
                <w:b/>
                <w:sz w:val="24"/>
                <w:szCs w:val="24"/>
                <w:lang w:val="en-US"/>
              </w:rPr>
            </w:pPr>
          </w:p>
        </w:tc>
        <w:tc>
          <w:tcPr>
            <w:tcW w:w="2723" w:type="dxa"/>
          </w:tcPr>
          <w:p w:rsidR="006B62A4" w:rsidRPr="006B62A4" w:rsidRDefault="006B62A4" w:rsidP="006B62A4">
            <w:pPr>
              <w:jc w:val="center"/>
              <w:rPr>
                <w:rFonts w:ascii="Times New Roman" w:eastAsia="Calibri" w:hAnsi="Times New Roman"/>
                <w:b/>
                <w:sz w:val="24"/>
                <w:szCs w:val="24"/>
                <w:lang w:val="en-US"/>
              </w:rPr>
            </w:pPr>
            <w:r w:rsidRPr="006B62A4">
              <w:rPr>
                <w:rFonts w:ascii="Times New Roman" w:eastAsia="Calibri" w:hAnsi="Times New Roman"/>
                <w:b/>
                <w:sz w:val="24"/>
                <w:szCs w:val="24"/>
                <w:lang w:val="en-US"/>
              </w:rPr>
              <w:t>Criterion</w:t>
            </w:r>
          </w:p>
        </w:tc>
        <w:tc>
          <w:tcPr>
            <w:tcW w:w="2723" w:type="dxa"/>
          </w:tcPr>
          <w:p w:rsidR="006B62A4" w:rsidRPr="006B62A4" w:rsidRDefault="006B62A4" w:rsidP="006B62A4">
            <w:pPr>
              <w:jc w:val="center"/>
              <w:rPr>
                <w:rFonts w:ascii="Times New Roman" w:eastAsia="Calibri" w:hAnsi="Times New Roman"/>
                <w:b/>
                <w:sz w:val="24"/>
                <w:szCs w:val="24"/>
                <w:lang w:val="en-US"/>
              </w:rPr>
            </w:pPr>
            <w:r w:rsidRPr="006B62A4">
              <w:rPr>
                <w:rFonts w:ascii="Times New Roman" w:eastAsia="Calibri" w:hAnsi="Times New Roman"/>
                <w:b/>
                <w:sz w:val="24"/>
                <w:szCs w:val="24"/>
                <w:lang w:val="en-US"/>
              </w:rPr>
              <w:t>Reference/evidence/citation of Internal Rules (IR)</w:t>
            </w:r>
          </w:p>
        </w:tc>
        <w:tc>
          <w:tcPr>
            <w:tcW w:w="2724" w:type="dxa"/>
          </w:tcPr>
          <w:p w:rsidR="006B62A4" w:rsidRPr="006B62A4" w:rsidRDefault="006B62A4" w:rsidP="006B62A4">
            <w:pPr>
              <w:jc w:val="center"/>
              <w:rPr>
                <w:rFonts w:ascii="Times New Roman" w:eastAsia="Calibri" w:hAnsi="Times New Roman"/>
                <w:b/>
                <w:sz w:val="24"/>
                <w:szCs w:val="24"/>
                <w:lang w:val="en-US"/>
              </w:rPr>
            </w:pPr>
            <w:r w:rsidRPr="006B62A4">
              <w:rPr>
                <w:rFonts w:ascii="Times New Roman" w:eastAsia="Calibri" w:hAnsi="Times New Roman"/>
                <w:b/>
                <w:sz w:val="24"/>
                <w:szCs w:val="24"/>
                <w:lang w:val="en-US"/>
              </w:rPr>
              <w:t>Assessment (traffic lights) / comments</w:t>
            </w:r>
          </w:p>
        </w:tc>
      </w:tr>
      <w:tr w:rsidR="006B62A4" w:rsidRPr="006B62A4" w:rsidTr="00954D07">
        <w:tc>
          <w:tcPr>
            <w:tcW w:w="846" w:type="dxa"/>
          </w:tcPr>
          <w:p w:rsidR="006B62A4" w:rsidRPr="006B62A4" w:rsidRDefault="006B62A4" w:rsidP="006B62A4">
            <w:pPr>
              <w:numPr>
                <w:ilvl w:val="0"/>
                <w:numId w:val="2"/>
              </w:numPr>
              <w:contextualSpacing/>
              <w:jc w:val="both"/>
              <w:rPr>
                <w:rFonts w:ascii="Times New Roman" w:eastAsia="Calibri" w:hAnsi="Times New Roman"/>
                <w:sz w:val="20"/>
                <w:szCs w:val="20"/>
                <w:lang w:val="nl-BE"/>
              </w:rPr>
            </w:pPr>
          </w:p>
        </w:tc>
        <w:tc>
          <w:tcPr>
            <w:tcW w:w="2723" w:type="dxa"/>
          </w:tcPr>
          <w:p w:rsidR="006B62A4" w:rsidRPr="006B62A4" w:rsidRDefault="006B62A4" w:rsidP="006B62A4">
            <w:pPr>
              <w:jc w:val="both"/>
              <w:rPr>
                <w:rFonts w:ascii="Times New Roman" w:eastAsia="Calibri" w:hAnsi="Times New Roman"/>
                <w:sz w:val="20"/>
                <w:szCs w:val="20"/>
                <w:lang w:val="en-US"/>
              </w:rPr>
            </w:pPr>
            <w:r w:rsidRPr="006B62A4">
              <w:rPr>
                <w:rFonts w:ascii="Times New Roman" w:eastAsia="Calibri" w:hAnsi="Times New Roman"/>
                <w:sz w:val="20"/>
                <w:szCs w:val="20"/>
                <w:lang w:val="en-US"/>
              </w:rPr>
              <w:t>A necessity and proportionality test on the need for restriction has been performed (a-e);</w:t>
            </w:r>
          </w:p>
        </w:tc>
        <w:tc>
          <w:tcPr>
            <w:tcW w:w="2723" w:type="dxa"/>
          </w:tcPr>
          <w:p w:rsidR="006B62A4" w:rsidRPr="006B62A4" w:rsidRDefault="006B62A4" w:rsidP="006B62A4">
            <w:pPr>
              <w:jc w:val="both"/>
              <w:rPr>
                <w:rFonts w:ascii="Times New Roman" w:eastAsia="Calibri" w:hAnsi="Times New Roman"/>
                <w:sz w:val="20"/>
                <w:szCs w:val="20"/>
                <w:lang w:val="en-US"/>
              </w:rPr>
            </w:pPr>
          </w:p>
        </w:tc>
        <w:tc>
          <w:tcPr>
            <w:tcW w:w="2724" w:type="dxa"/>
          </w:tcPr>
          <w:p w:rsidR="006B62A4" w:rsidRPr="006B62A4" w:rsidRDefault="006B62A4" w:rsidP="006B62A4">
            <w:pPr>
              <w:jc w:val="both"/>
              <w:rPr>
                <w:rFonts w:ascii="Times New Roman" w:eastAsia="Calibri" w:hAnsi="Times New Roman"/>
                <w:sz w:val="20"/>
                <w:szCs w:val="20"/>
                <w:lang w:val="en-US"/>
              </w:rPr>
            </w:pPr>
          </w:p>
        </w:tc>
      </w:tr>
      <w:tr w:rsidR="006B62A4" w:rsidRPr="006B62A4" w:rsidTr="006B62A4">
        <w:tc>
          <w:tcPr>
            <w:tcW w:w="846" w:type="dxa"/>
            <w:shd w:val="clear" w:color="auto" w:fill="FFFFFF"/>
          </w:tcPr>
          <w:p w:rsidR="006B62A4" w:rsidRPr="006B62A4" w:rsidRDefault="006B62A4" w:rsidP="006B62A4">
            <w:pPr>
              <w:numPr>
                <w:ilvl w:val="0"/>
                <w:numId w:val="3"/>
              </w:numPr>
              <w:contextualSpacing/>
              <w:jc w:val="both"/>
              <w:rPr>
                <w:rFonts w:ascii="Times New Roman" w:eastAsia="Calibri" w:hAnsi="Times New Roman"/>
                <w:sz w:val="20"/>
                <w:szCs w:val="20"/>
              </w:rPr>
            </w:pPr>
          </w:p>
        </w:tc>
        <w:tc>
          <w:tcPr>
            <w:tcW w:w="2723" w:type="dxa"/>
            <w:shd w:val="clear" w:color="auto" w:fill="FFFFFF"/>
          </w:tcPr>
          <w:p w:rsidR="006B62A4" w:rsidRPr="006B62A4" w:rsidRDefault="006B62A4" w:rsidP="006B62A4">
            <w:pPr>
              <w:spacing w:after="240"/>
              <w:rPr>
                <w:rFonts w:ascii="Times New Roman" w:eastAsia="Calibri" w:hAnsi="Times New Roman"/>
                <w:sz w:val="20"/>
                <w:szCs w:val="20"/>
                <w:lang w:val="en-US"/>
              </w:rPr>
            </w:pPr>
            <w:r w:rsidRPr="006B62A4">
              <w:rPr>
                <w:rFonts w:ascii="Times New Roman" w:eastAsia="Calibri" w:hAnsi="Times New Roman"/>
                <w:sz w:val="20"/>
                <w:szCs w:val="20"/>
                <w:lang w:val="en-US"/>
              </w:rPr>
              <w:t>Restriction provided for by law,</w:t>
            </w:r>
          </w:p>
        </w:tc>
        <w:tc>
          <w:tcPr>
            <w:tcW w:w="2723" w:type="dxa"/>
            <w:shd w:val="clear" w:color="auto" w:fill="FFFFFF"/>
          </w:tcPr>
          <w:p w:rsidR="006B62A4" w:rsidRPr="006B62A4" w:rsidRDefault="006B62A4" w:rsidP="006B62A4">
            <w:pPr>
              <w:jc w:val="both"/>
              <w:rPr>
                <w:rFonts w:ascii="Times New Roman" w:eastAsia="Calibri" w:hAnsi="Times New Roman"/>
                <w:sz w:val="20"/>
                <w:szCs w:val="20"/>
                <w:lang w:val="en-US"/>
              </w:rPr>
            </w:pPr>
          </w:p>
        </w:tc>
        <w:tc>
          <w:tcPr>
            <w:tcW w:w="2724" w:type="dxa"/>
            <w:shd w:val="clear" w:color="auto" w:fill="FFFFFF"/>
          </w:tcPr>
          <w:p w:rsidR="006B62A4" w:rsidRPr="006B62A4" w:rsidRDefault="006B62A4" w:rsidP="006B62A4">
            <w:pPr>
              <w:jc w:val="both"/>
              <w:rPr>
                <w:rFonts w:ascii="Times New Roman" w:eastAsia="Calibri" w:hAnsi="Times New Roman"/>
                <w:sz w:val="20"/>
                <w:szCs w:val="20"/>
                <w:lang w:val="en-US"/>
              </w:rPr>
            </w:pPr>
          </w:p>
        </w:tc>
      </w:tr>
      <w:tr w:rsidR="006B62A4" w:rsidRPr="006B62A4" w:rsidTr="006B62A4">
        <w:tc>
          <w:tcPr>
            <w:tcW w:w="846" w:type="dxa"/>
            <w:shd w:val="clear" w:color="auto" w:fill="FFFFFF"/>
          </w:tcPr>
          <w:p w:rsidR="006B62A4" w:rsidRPr="006B62A4" w:rsidRDefault="006B62A4" w:rsidP="006B62A4">
            <w:pPr>
              <w:numPr>
                <w:ilvl w:val="0"/>
                <w:numId w:val="3"/>
              </w:numPr>
              <w:contextualSpacing/>
              <w:jc w:val="both"/>
              <w:rPr>
                <w:rFonts w:ascii="Times New Roman" w:eastAsia="Calibri" w:hAnsi="Times New Roman"/>
                <w:sz w:val="20"/>
                <w:szCs w:val="20"/>
              </w:rPr>
            </w:pPr>
          </w:p>
        </w:tc>
        <w:tc>
          <w:tcPr>
            <w:tcW w:w="2723" w:type="dxa"/>
            <w:shd w:val="clear" w:color="auto" w:fill="FFFFFF"/>
          </w:tcPr>
          <w:p w:rsidR="006B62A4" w:rsidRPr="006B62A4" w:rsidRDefault="006B62A4" w:rsidP="006B62A4">
            <w:pPr>
              <w:jc w:val="both"/>
              <w:rPr>
                <w:rFonts w:ascii="Times New Roman" w:eastAsia="Calibri" w:hAnsi="Times New Roman"/>
                <w:sz w:val="20"/>
                <w:szCs w:val="20"/>
                <w:lang w:val="en-US"/>
              </w:rPr>
            </w:pPr>
            <w:r w:rsidRPr="006B62A4">
              <w:rPr>
                <w:rFonts w:ascii="Times New Roman" w:eastAsia="Calibri" w:hAnsi="Times New Roman"/>
                <w:sz w:val="20"/>
                <w:szCs w:val="20"/>
                <w:lang w:val="en-US"/>
              </w:rPr>
              <w:t>respects the essence of the rights</w:t>
            </w:r>
          </w:p>
        </w:tc>
        <w:tc>
          <w:tcPr>
            <w:tcW w:w="2723" w:type="dxa"/>
            <w:shd w:val="clear" w:color="auto" w:fill="FFFFFF"/>
          </w:tcPr>
          <w:p w:rsidR="006B62A4" w:rsidRPr="006B62A4" w:rsidRDefault="006B62A4" w:rsidP="006B62A4">
            <w:pPr>
              <w:jc w:val="both"/>
              <w:rPr>
                <w:rFonts w:ascii="Times New Roman" w:eastAsia="Calibri" w:hAnsi="Times New Roman"/>
                <w:sz w:val="20"/>
                <w:szCs w:val="20"/>
                <w:lang w:val="en-US"/>
              </w:rPr>
            </w:pPr>
          </w:p>
        </w:tc>
        <w:tc>
          <w:tcPr>
            <w:tcW w:w="2724" w:type="dxa"/>
            <w:shd w:val="clear" w:color="auto" w:fill="FFFFFF"/>
          </w:tcPr>
          <w:p w:rsidR="006B62A4" w:rsidRPr="006B62A4" w:rsidRDefault="006B62A4" w:rsidP="006B62A4">
            <w:pPr>
              <w:jc w:val="both"/>
              <w:rPr>
                <w:rFonts w:ascii="Times New Roman" w:eastAsia="Calibri" w:hAnsi="Times New Roman"/>
                <w:sz w:val="20"/>
                <w:szCs w:val="20"/>
                <w:lang w:val="en-US"/>
              </w:rPr>
            </w:pPr>
          </w:p>
        </w:tc>
      </w:tr>
      <w:tr w:rsidR="006B62A4" w:rsidRPr="006B62A4" w:rsidTr="006B62A4">
        <w:tc>
          <w:tcPr>
            <w:tcW w:w="846" w:type="dxa"/>
            <w:shd w:val="clear" w:color="auto" w:fill="FFFFFF"/>
          </w:tcPr>
          <w:p w:rsidR="006B62A4" w:rsidRPr="006B62A4" w:rsidRDefault="006B62A4" w:rsidP="006B62A4">
            <w:pPr>
              <w:numPr>
                <w:ilvl w:val="0"/>
                <w:numId w:val="3"/>
              </w:numPr>
              <w:contextualSpacing/>
              <w:jc w:val="both"/>
              <w:rPr>
                <w:rFonts w:ascii="Times New Roman" w:eastAsia="Calibri" w:hAnsi="Times New Roman"/>
                <w:sz w:val="20"/>
                <w:szCs w:val="20"/>
              </w:rPr>
            </w:pPr>
          </w:p>
        </w:tc>
        <w:tc>
          <w:tcPr>
            <w:tcW w:w="2723" w:type="dxa"/>
            <w:shd w:val="clear" w:color="auto" w:fill="FFFFFF"/>
          </w:tcPr>
          <w:p w:rsidR="006B62A4" w:rsidRPr="006B62A4" w:rsidRDefault="006B62A4" w:rsidP="006B62A4">
            <w:pPr>
              <w:rPr>
                <w:rFonts w:ascii="Times New Roman" w:eastAsia="Calibri" w:hAnsi="Times New Roman"/>
                <w:sz w:val="20"/>
                <w:szCs w:val="20"/>
              </w:rPr>
            </w:pPr>
            <w:r w:rsidRPr="006B62A4">
              <w:rPr>
                <w:rFonts w:ascii="Times New Roman" w:eastAsia="Calibri" w:hAnsi="Times New Roman"/>
                <w:sz w:val="20"/>
                <w:szCs w:val="20"/>
                <w:lang w:val="en-US"/>
              </w:rPr>
              <w:t xml:space="preserve">genuinely meets objectives of general interest </w:t>
            </w:r>
            <w:proofErr w:type="spellStart"/>
            <w:r w:rsidRPr="006B62A4">
              <w:rPr>
                <w:rFonts w:ascii="Times New Roman" w:eastAsia="Calibri" w:hAnsi="Times New Roman"/>
                <w:sz w:val="20"/>
                <w:szCs w:val="20"/>
                <w:lang w:val="en-US"/>
              </w:rPr>
              <w:t>recognised</w:t>
            </w:r>
            <w:proofErr w:type="spellEnd"/>
            <w:r w:rsidRPr="006B62A4">
              <w:rPr>
                <w:rFonts w:ascii="Times New Roman" w:eastAsia="Calibri" w:hAnsi="Times New Roman"/>
                <w:sz w:val="20"/>
                <w:szCs w:val="20"/>
                <w:lang w:val="en-US"/>
              </w:rPr>
              <w:t xml:space="preserve"> by the EU or the need to protect the rights and freedoms of others</w:t>
            </w:r>
          </w:p>
        </w:tc>
        <w:tc>
          <w:tcPr>
            <w:tcW w:w="2723" w:type="dxa"/>
            <w:shd w:val="clear" w:color="auto" w:fill="FFFFFF"/>
          </w:tcPr>
          <w:p w:rsidR="006B62A4" w:rsidRPr="006B62A4" w:rsidRDefault="006B62A4" w:rsidP="006B62A4">
            <w:pPr>
              <w:jc w:val="both"/>
              <w:rPr>
                <w:rFonts w:ascii="Times New Roman" w:eastAsia="Calibri" w:hAnsi="Times New Roman"/>
                <w:sz w:val="20"/>
                <w:szCs w:val="20"/>
                <w:lang w:val="en-US"/>
              </w:rPr>
            </w:pPr>
          </w:p>
        </w:tc>
        <w:tc>
          <w:tcPr>
            <w:tcW w:w="2724" w:type="dxa"/>
            <w:shd w:val="clear" w:color="auto" w:fill="FFFFFF"/>
          </w:tcPr>
          <w:p w:rsidR="006B62A4" w:rsidRPr="006B62A4" w:rsidRDefault="006B62A4" w:rsidP="006B62A4">
            <w:pPr>
              <w:jc w:val="both"/>
              <w:rPr>
                <w:rFonts w:ascii="Times New Roman" w:eastAsia="Calibri" w:hAnsi="Times New Roman"/>
                <w:sz w:val="20"/>
                <w:szCs w:val="20"/>
                <w:lang w:val="en-US"/>
              </w:rPr>
            </w:pPr>
          </w:p>
        </w:tc>
      </w:tr>
      <w:tr w:rsidR="006B62A4" w:rsidRPr="006B62A4" w:rsidTr="006B62A4">
        <w:tc>
          <w:tcPr>
            <w:tcW w:w="846" w:type="dxa"/>
            <w:shd w:val="clear" w:color="auto" w:fill="FFFFFF"/>
          </w:tcPr>
          <w:p w:rsidR="006B62A4" w:rsidRPr="006B62A4" w:rsidRDefault="006B62A4" w:rsidP="006B62A4">
            <w:pPr>
              <w:numPr>
                <w:ilvl w:val="0"/>
                <w:numId w:val="3"/>
              </w:numPr>
              <w:contextualSpacing/>
              <w:jc w:val="both"/>
              <w:rPr>
                <w:rFonts w:ascii="Times New Roman" w:eastAsia="Calibri" w:hAnsi="Times New Roman"/>
                <w:sz w:val="20"/>
                <w:szCs w:val="20"/>
              </w:rPr>
            </w:pPr>
          </w:p>
        </w:tc>
        <w:tc>
          <w:tcPr>
            <w:tcW w:w="2723" w:type="dxa"/>
            <w:shd w:val="clear" w:color="auto" w:fill="FFFFFF"/>
          </w:tcPr>
          <w:p w:rsidR="006B62A4" w:rsidRPr="006B62A4" w:rsidRDefault="006B62A4" w:rsidP="006B62A4">
            <w:pPr>
              <w:rPr>
                <w:rFonts w:ascii="Times New Roman" w:eastAsia="Calibri" w:hAnsi="Times New Roman"/>
                <w:sz w:val="20"/>
                <w:szCs w:val="20"/>
              </w:rPr>
            </w:pPr>
            <w:r w:rsidRPr="006B62A4">
              <w:rPr>
                <w:rFonts w:ascii="Times New Roman" w:eastAsia="Calibri" w:hAnsi="Times New Roman"/>
                <w:sz w:val="20"/>
                <w:szCs w:val="20"/>
                <w:lang w:val="en-US"/>
              </w:rPr>
              <w:t>necessary (no alternative equally efficient means to achieve objective), see also section 4 below)</w:t>
            </w:r>
          </w:p>
        </w:tc>
        <w:tc>
          <w:tcPr>
            <w:tcW w:w="2723" w:type="dxa"/>
            <w:shd w:val="clear" w:color="auto" w:fill="FFFFFF"/>
          </w:tcPr>
          <w:p w:rsidR="006B62A4" w:rsidRPr="006B62A4" w:rsidRDefault="006B62A4" w:rsidP="006B62A4">
            <w:pPr>
              <w:jc w:val="both"/>
              <w:rPr>
                <w:rFonts w:ascii="Times New Roman" w:eastAsia="Calibri" w:hAnsi="Times New Roman"/>
                <w:sz w:val="20"/>
                <w:szCs w:val="20"/>
                <w:lang w:val="en-US"/>
              </w:rPr>
            </w:pPr>
          </w:p>
        </w:tc>
        <w:tc>
          <w:tcPr>
            <w:tcW w:w="2724" w:type="dxa"/>
            <w:shd w:val="clear" w:color="auto" w:fill="FFFFFF"/>
          </w:tcPr>
          <w:p w:rsidR="006B62A4" w:rsidRPr="006B62A4" w:rsidRDefault="006B62A4" w:rsidP="006B62A4">
            <w:pPr>
              <w:jc w:val="both"/>
              <w:rPr>
                <w:rFonts w:ascii="Times New Roman" w:eastAsia="Calibri" w:hAnsi="Times New Roman"/>
                <w:sz w:val="20"/>
                <w:szCs w:val="20"/>
                <w:lang w:val="en-US"/>
              </w:rPr>
            </w:pPr>
          </w:p>
        </w:tc>
      </w:tr>
      <w:tr w:rsidR="006B62A4" w:rsidRPr="006B62A4" w:rsidTr="006B62A4">
        <w:tc>
          <w:tcPr>
            <w:tcW w:w="846" w:type="dxa"/>
            <w:shd w:val="clear" w:color="auto" w:fill="FFFFFF"/>
          </w:tcPr>
          <w:p w:rsidR="006B62A4" w:rsidRPr="006B62A4" w:rsidRDefault="006B62A4" w:rsidP="006B62A4">
            <w:pPr>
              <w:numPr>
                <w:ilvl w:val="0"/>
                <w:numId w:val="3"/>
              </w:numPr>
              <w:contextualSpacing/>
              <w:jc w:val="both"/>
              <w:rPr>
                <w:rFonts w:ascii="Times New Roman" w:eastAsia="Calibri" w:hAnsi="Times New Roman"/>
                <w:sz w:val="20"/>
                <w:szCs w:val="20"/>
              </w:rPr>
            </w:pPr>
          </w:p>
        </w:tc>
        <w:tc>
          <w:tcPr>
            <w:tcW w:w="2723" w:type="dxa"/>
            <w:shd w:val="clear" w:color="auto" w:fill="FFFFFF"/>
          </w:tcPr>
          <w:p w:rsidR="006B62A4" w:rsidRPr="006B62A4" w:rsidRDefault="006B62A4" w:rsidP="006B62A4">
            <w:pPr>
              <w:rPr>
                <w:rFonts w:ascii="Times New Roman" w:eastAsia="Calibri" w:hAnsi="Times New Roman"/>
                <w:sz w:val="20"/>
                <w:szCs w:val="20"/>
              </w:rPr>
            </w:pPr>
            <w:r w:rsidRPr="006B62A4">
              <w:rPr>
                <w:rFonts w:ascii="Times New Roman" w:eastAsia="Calibri" w:hAnsi="Times New Roman"/>
                <w:sz w:val="20"/>
                <w:szCs w:val="20"/>
                <w:lang w:val="en-US"/>
              </w:rPr>
              <w:t>proportional</w:t>
            </w:r>
          </w:p>
        </w:tc>
        <w:tc>
          <w:tcPr>
            <w:tcW w:w="2723" w:type="dxa"/>
            <w:shd w:val="clear" w:color="auto" w:fill="FFFFFF"/>
          </w:tcPr>
          <w:p w:rsidR="006B62A4" w:rsidRPr="006B62A4" w:rsidRDefault="006B62A4" w:rsidP="006B62A4">
            <w:pPr>
              <w:jc w:val="both"/>
              <w:rPr>
                <w:rFonts w:ascii="Times New Roman" w:eastAsia="Calibri" w:hAnsi="Times New Roman"/>
                <w:sz w:val="20"/>
                <w:szCs w:val="20"/>
                <w:lang w:val="en-US"/>
              </w:rPr>
            </w:pPr>
          </w:p>
        </w:tc>
        <w:tc>
          <w:tcPr>
            <w:tcW w:w="2724" w:type="dxa"/>
            <w:shd w:val="clear" w:color="auto" w:fill="FFFFFF"/>
          </w:tcPr>
          <w:p w:rsidR="006B62A4" w:rsidRPr="006B62A4" w:rsidRDefault="006B62A4" w:rsidP="006B62A4">
            <w:pPr>
              <w:jc w:val="both"/>
              <w:rPr>
                <w:rFonts w:ascii="Times New Roman" w:eastAsia="Calibri" w:hAnsi="Times New Roman"/>
                <w:sz w:val="20"/>
                <w:szCs w:val="20"/>
                <w:lang w:val="en-US"/>
              </w:rPr>
            </w:pPr>
          </w:p>
        </w:tc>
      </w:tr>
      <w:tr w:rsidR="006B62A4" w:rsidRPr="006B62A4" w:rsidTr="00954D07">
        <w:tc>
          <w:tcPr>
            <w:tcW w:w="846" w:type="dxa"/>
          </w:tcPr>
          <w:p w:rsidR="006B62A4" w:rsidRPr="006B62A4" w:rsidRDefault="006B62A4" w:rsidP="006B62A4">
            <w:pPr>
              <w:numPr>
                <w:ilvl w:val="0"/>
                <w:numId w:val="2"/>
              </w:numPr>
              <w:contextualSpacing/>
              <w:jc w:val="both"/>
              <w:rPr>
                <w:rFonts w:ascii="Times New Roman" w:eastAsia="Calibri" w:hAnsi="Times New Roman"/>
                <w:sz w:val="20"/>
                <w:szCs w:val="20"/>
                <w:lang w:val="nl-BE"/>
              </w:rPr>
            </w:pPr>
          </w:p>
        </w:tc>
        <w:tc>
          <w:tcPr>
            <w:tcW w:w="2723" w:type="dxa"/>
          </w:tcPr>
          <w:p w:rsidR="006B62A4" w:rsidRPr="006B62A4" w:rsidRDefault="006B62A4" w:rsidP="006B62A4">
            <w:pPr>
              <w:jc w:val="both"/>
              <w:rPr>
                <w:rFonts w:ascii="Times New Roman" w:eastAsia="Calibri" w:hAnsi="Times New Roman"/>
                <w:sz w:val="20"/>
                <w:szCs w:val="20"/>
                <w:lang w:val="en-US"/>
              </w:rPr>
            </w:pPr>
            <w:r w:rsidRPr="006B62A4">
              <w:rPr>
                <w:rFonts w:ascii="Times New Roman" w:eastAsia="Calibri" w:hAnsi="Times New Roman"/>
                <w:sz w:val="20"/>
                <w:szCs w:val="20"/>
                <w:lang w:val="en-US"/>
              </w:rPr>
              <w:t>Data subjects have been informed using a general data protection notice which includes information on potential restrictions;</w:t>
            </w:r>
          </w:p>
        </w:tc>
        <w:tc>
          <w:tcPr>
            <w:tcW w:w="2723" w:type="dxa"/>
          </w:tcPr>
          <w:p w:rsidR="006B62A4" w:rsidRPr="006B62A4" w:rsidRDefault="006B62A4" w:rsidP="006B62A4">
            <w:pPr>
              <w:jc w:val="both"/>
              <w:rPr>
                <w:rFonts w:ascii="Times New Roman" w:eastAsia="Calibri" w:hAnsi="Times New Roman"/>
                <w:sz w:val="20"/>
                <w:szCs w:val="20"/>
                <w:lang w:val="en-US"/>
              </w:rPr>
            </w:pPr>
          </w:p>
        </w:tc>
        <w:tc>
          <w:tcPr>
            <w:tcW w:w="2724" w:type="dxa"/>
          </w:tcPr>
          <w:p w:rsidR="006B62A4" w:rsidRPr="006B62A4" w:rsidRDefault="006B62A4" w:rsidP="006B62A4">
            <w:pPr>
              <w:jc w:val="both"/>
              <w:rPr>
                <w:rFonts w:ascii="Times New Roman" w:eastAsia="Calibri" w:hAnsi="Times New Roman"/>
                <w:sz w:val="20"/>
                <w:szCs w:val="20"/>
                <w:lang w:val="en-US"/>
              </w:rPr>
            </w:pPr>
          </w:p>
        </w:tc>
      </w:tr>
      <w:tr w:rsidR="006B62A4" w:rsidRPr="006B62A4" w:rsidTr="00954D07">
        <w:tc>
          <w:tcPr>
            <w:tcW w:w="846" w:type="dxa"/>
          </w:tcPr>
          <w:p w:rsidR="006B62A4" w:rsidRPr="006B62A4" w:rsidRDefault="006B62A4" w:rsidP="006B62A4">
            <w:pPr>
              <w:numPr>
                <w:ilvl w:val="0"/>
                <w:numId w:val="2"/>
              </w:numPr>
              <w:contextualSpacing/>
              <w:jc w:val="both"/>
              <w:rPr>
                <w:rFonts w:ascii="Times New Roman" w:eastAsia="Calibri" w:hAnsi="Times New Roman"/>
                <w:sz w:val="20"/>
                <w:szCs w:val="20"/>
              </w:rPr>
            </w:pPr>
          </w:p>
        </w:tc>
        <w:tc>
          <w:tcPr>
            <w:tcW w:w="2723" w:type="dxa"/>
          </w:tcPr>
          <w:p w:rsidR="006B62A4" w:rsidRPr="006B62A4" w:rsidRDefault="006B62A4" w:rsidP="006B62A4">
            <w:pPr>
              <w:jc w:val="both"/>
              <w:rPr>
                <w:rFonts w:ascii="Times New Roman" w:eastAsia="Calibri" w:hAnsi="Times New Roman"/>
                <w:sz w:val="20"/>
                <w:szCs w:val="20"/>
                <w:lang w:val="en-US"/>
              </w:rPr>
            </w:pPr>
            <w:r w:rsidRPr="006B62A4">
              <w:rPr>
                <w:rFonts w:ascii="Times New Roman" w:eastAsia="Calibri" w:hAnsi="Times New Roman"/>
                <w:sz w:val="20"/>
                <w:szCs w:val="20"/>
                <w:lang w:val="en-US"/>
              </w:rPr>
              <w:t>Restriction was decided on a case-by-case basis only (no indication of blanket measure, considerations regard specific case)</w:t>
            </w:r>
          </w:p>
        </w:tc>
        <w:tc>
          <w:tcPr>
            <w:tcW w:w="2723" w:type="dxa"/>
          </w:tcPr>
          <w:p w:rsidR="006B62A4" w:rsidRPr="006B62A4" w:rsidRDefault="006B62A4" w:rsidP="006B62A4">
            <w:pPr>
              <w:jc w:val="both"/>
              <w:rPr>
                <w:rFonts w:ascii="Times New Roman" w:eastAsia="Calibri" w:hAnsi="Times New Roman"/>
                <w:sz w:val="20"/>
                <w:szCs w:val="20"/>
                <w:lang w:val="en-US"/>
              </w:rPr>
            </w:pPr>
          </w:p>
        </w:tc>
        <w:tc>
          <w:tcPr>
            <w:tcW w:w="2724" w:type="dxa"/>
          </w:tcPr>
          <w:p w:rsidR="006B62A4" w:rsidRPr="006B62A4" w:rsidRDefault="006B62A4" w:rsidP="006B62A4">
            <w:pPr>
              <w:jc w:val="both"/>
              <w:rPr>
                <w:rFonts w:ascii="Times New Roman" w:eastAsia="Calibri" w:hAnsi="Times New Roman"/>
                <w:sz w:val="20"/>
                <w:szCs w:val="20"/>
                <w:lang w:val="en-US"/>
              </w:rPr>
            </w:pPr>
          </w:p>
        </w:tc>
      </w:tr>
      <w:tr w:rsidR="006B62A4" w:rsidRPr="006B62A4" w:rsidTr="00954D07">
        <w:tc>
          <w:tcPr>
            <w:tcW w:w="846" w:type="dxa"/>
          </w:tcPr>
          <w:p w:rsidR="006B62A4" w:rsidRPr="006B62A4" w:rsidRDefault="006B62A4" w:rsidP="006B62A4">
            <w:pPr>
              <w:numPr>
                <w:ilvl w:val="0"/>
                <w:numId w:val="2"/>
              </w:numPr>
              <w:contextualSpacing/>
              <w:jc w:val="both"/>
              <w:rPr>
                <w:rFonts w:ascii="Times New Roman" w:eastAsia="Calibri" w:hAnsi="Times New Roman"/>
                <w:sz w:val="20"/>
                <w:szCs w:val="20"/>
              </w:rPr>
            </w:pPr>
          </w:p>
        </w:tc>
        <w:tc>
          <w:tcPr>
            <w:tcW w:w="2723" w:type="dxa"/>
          </w:tcPr>
          <w:p w:rsidR="006B62A4" w:rsidRPr="006B62A4" w:rsidRDefault="006B62A4" w:rsidP="006B62A4">
            <w:pPr>
              <w:jc w:val="both"/>
              <w:rPr>
                <w:rFonts w:ascii="Times New Roman" w:eastAsia="Calibri" w:hAnsi="Times New Roman"/>
                <w:sz w:val="20"/>
                <w:szCs w:val="20"/>
                <w:lang w:val="en-US"/>
              </w:rPr>
            </w:pPr>
            <w:r w:rsidRPr="006B62A4">
              <w:rPr>
                <w:rFonts w:ascii="Times New Roman" w:eastAsia="Calibri" w:hAnsi="Times New Roman"/>
                <w:sz w:val="20"/>
                <w:szCs w:val="20"/>
                <w:lang w:val="en-US"/>
              </w:rPr>
              <w:t>Restriction to the least extent possible (a ‘restriction within the restriction’ should apply as regards the rights and the extent of the restriction)</w:t>
            </w:r>
          </w:p>
        </w:tc>
        <w:tc>
          <w:tcPr>
            <w:tcW w:w="2723" w:type="dxa"/>
          </w:tcPr>
          <w:p w:rsidR="006B62A4" w:rsidRPr="006B62A4" w:rsidRDefault="006B62A4" w:rsidP="006B62A4">
            <w:pPr>
              <w:jc w:val="both"/>
              <w:rPr>
                <w:rFonts w:ascii="Times New Roman" w:eastAsia="Calibri" w:hAnsi="Times New Roman"/>
                <w:sz w:val="20"/>
                <w:szCs w:val="20"/>
                <w:lang w:val="en-US"/>
              </w:rPr>
            </w:pPr>
          </w:p>
        </w:tc>
        <w:tc>
          <w:tcPr>
            <w:tcW w:w="2724" w:type="dxa"/>
          </w:tcPr>
          <w:p w:rsidR="006B62A4" w:rsidRPr="006B62A4" w:rsidRDefault="006B62A4" w:rsidP="006B62A4">
            <w:pPr>
              <w:jc w:val="both"/>
              <w:rPr>
                <w:rFonts w:ascii="Times New Roman" w:eastAsia="Calibri" w:hAnsi="Times New Roman"/>
                <w:sz w:val="20"/>
                <w:szCs w:val="20"/>
                <w:lang w:val="en-US"/>
              </w:rPr>
            </w:pPr>
          </w:p>
        </w:tc>
      </w:tr>
      <w:tr w:rsidR="006B62A4" w:rsidRPr="006B62A4" w:rsidTr="00954D07">
        <w:tc>
          <w:tcPr>
            <w:tcW w:w="846" w:type="dxa"/>
          </w:tcPr>
          <w:p w:rsidR="006B62A4" w:rsidRPr="006B62A4" w:rsidRDefault="006B62A4" w:rsidP="006B62A4">
            <w:pPr>
              <w:numPr>
                <w:ilvl w:val="0"/>
                <w:numId w:val="2"/>
              </w:numPr>
              <w:contextualSpacing/>
              <w:jc w:val="both"/>
              <w:rPr>
                <w:rFonts w:ascii="Times New Roman" w:eastAsia="Calibri" w:hAnsi="Times New Roman"/>
                <w:sz w:val="20"/>
                <w:szCs w:val="20"/>
              </w:rPr>
            </w:pPr>
          </w:p>
        </w:tc>
        <w:tc>
          <w:tcPr>
            <w:tcW w:w="2723" w:type="dxa"/>
          </w:tcPr>
          <w:p w:rsidR="006B62A4" w:rsidRPr="006B62A4" w:rsidRDefault="006B62A4" w:rsidP="006B62A4">
            <w:pPr>
              <w:jc w:val="both"/>
              <w:rPr>
                <w:rFonts w:ascii="Times New Roman" w:eastAsia="Calibri" w:hAnsi="Times New Roman"/>
                <w:sz w:val="20"/>
                <w:szCs w:val="20"/>
                <w:lang w:val="en-US"/>
              </w:rPr>
            </w:pPr>
            <w:r w:rsidRPr="006B62A4">
              <w:rPr>
                <w:rFonts w:ascii="Times New Roman" w:eastAsia="Calibri" w:hAnsi="Times New Roman"/>
                <w:sz w:val="20"/>
                <w:szCs w:val="20"/>
                <w:lang w:val="en-US"/>
              </w:rPr>
              <w:t>Restriction is temporary and will lifted if the underlying reasoning for its existence no longer applies</w:t>
            </w:r>
          </w:p>
        </w:tc>
        <w:tc>
          <w:tcPr>
            <w:tcW w:w="2723" w:type="dxa"/>
          </w:tcPr>
          <w:p w:rsidR="006B62A4" w:rsidRPr="006B62A4" w:rsidRDefault="006B62A4" w:rsidP="006B62A4">
            <w:pPr>
              <w:jc w:val="both"/>
              <w:rPr>
                <w:rFonts w:ascii="Times New Roman" w:eastAsia="Calibri" w:hAnsi="Times New Roman"/>
                <w:sz w:val="20"/>
                <w:szCs w:val="20"/>
                <w:lang w:val="en-US"/>
              </w:rPr>
            </w:pPr>
          </w:p>
        </w:tc>
        <w:tc>
          <w:tcPr>
            <w:tcW w:w="2724" w:type="dxa"/>
          </w:tcPr>
          <w:p w:rsidR="006B62A4" w:rsidRPr="006B62A4" w:rsidRDefault="006B62A4" w:rsidP="006B62A4">
            <w:pPr>
              <w:jc w:val="both"/>
              <w:rPr>
                <w:rFonts w:ascii="Times New Roman" w:eastAsia="Calibri" w:hAnsi="Times New Roman"/>
                <w:sz w:val="20"/>
                <w:szCs w:val="20"/>
                <w:lang w:val="en-US"/>
              </w:rPr>
            </w:pPr>
          </w:p>
        </w:tc>
      </w:tr>
      <w:tr w:rsidR="006B62A4" w:rsidRPr="006B62A4" w:rsidTr="00954D07">
        <w:tc>
          <w:tcPr>
            <w:tcW w:w="846" w:type="dxa"/>
          </w:tcPr>
          <w:p w:rsidR="006B62A4" w:rsidRPr="006B62A4" w:rsidRDefault="006B62A4" w:rsidP="006B62A4">
            <w:pPr>
              <w:numPr>
                <w:ilvl w:val="0"/>
                <w:numId w:val="2"/>
              </w:numPr>
              <w:contextualSpacing/>
              <w:jc w:val="both"/>
              <w:rPr>
                <w:rFonts w:ascii="Times New Roman" w:eastAsia="Calibri" w:hAnsi="Times New Roman"/>
                <w:sz w:val="20"/>
                <w:szCs w:val="20"/>
              </w:rPr>
            </w:pPr>
          </w:p>
        </w:tc>
        <w:tc>
          <w:tcPr>
            <w:tcW w:w="2723" w:type="dxa"/>
          </w:tcPr>
          <w:p w:rsidR="006B62A4" w:rsidRPr="006B62A4" w:rsidRDefault="006B62A4" w:rsidP="006B62A4">
            <w:pPr>
              <w:jc w:val="both"/>
              <w:rPr>
                <w:rFonts w:ascii="Times New Roman" w:eastAsia="Calibri" w:hAnsi="Times New Roman"/>
                <w:sz w:val="20"/>
                <w:szCs w:val="20"/>
                <w:lang w:val="en-US"/>
              </w:rPr>
            </w:pPr>
            <w:r w:rsidRPr="006B62A4">
              <w:rPr>
                <w:rFonts w:ascii="Times New Roman" w:eastAsia="Calibri" w:hAnsi="Times New Roman"/>
                <w:sz w:val="20"/>
                <w:szCs w:val="20"/>
                <w:lang w:val="en-US"/>
              </w:rPr>
              <w:t>The DPO was consulted before and during the restriction (the controller should involve the DPO throughout the procedure and document this consultation)</w:t>
            </w:r>
          </w:p>
        </w:tc>
        <w:tc>
          <w:tcPr>
            <w:tcW w:w="2723" w:type="dxa"/>
          </w:tcPr>
          <w:p w:rsidR="006B62A4" w:rsidRPr="006B62A4" w:rsidRDefault="006B62A4" w:rsidP="006B62A4">
            <w:pPr>
              <w:jc w:val="both"/>
              <w:rPr>
                <w:rFonts w:ascii="Times New Roman" w:eastAsia="Calibri" w:hAnsi="Times New Roman"/>
                <w:sz w:val="20"/>
                <w:szCs w:val="20"/>
                <w:lang w:val="en-US"/>
              </w:rPr>
            </w:pPr>
          </w:p>
        </w:tc>
        <w:tc>
          <w:tcPr>
            <w:tcW w:w="2724" w:type="dxa"/>
          </w:tcPr>
          <w:p w:rsidR="006B62A4" w:rsidRPr="006B62A4" w:rsidRDefault="006B62A4" w:rsidP="006B62A4">
            <w:pPr>
              <w:jc w:val="both"/>
              <w:rPr>
                <w:rFonts w:ascii="Times New Roman" w:eastAsia="Calibri" w:hAnsi="Times New Roman"/>
                <w:sz w:val="20"/>
                <w:szCs w:val="20"/>
                <w:lang w:val="en-US"/>
              </w:rPr>
            </w:pPr>
          </w:p>
        </w:tc>
      </w:tr>
      <w:tr w:rsidR="006B62A4" w:rsidRPr="006B62A4" w:rsidTr="00954D07">
        <w:tc>
          <w:tcPr>
            <w:tcW w:w="846" w:type="dxa"/>
          </w:tcPr>
          <w:p w:rsidR="006B62A4" w:rsidRPr="006B62A4" w:rsidRDefault="006B62A4" w:rsidP="006B62A4">
            <w:pPr>
              <w:numPr>
                <w:ilvl w:val="0"/>
                <w:numId w:val="2"/>
              </w:numPr>
              <w:contextualSpacing/>
              <w:jc w:val="both"/>
              <w:rPr>
                <w:rFonts w:ascii="Times New Roman" w:eastAsia="Calibri" w:hAnsi="Times New Roman"/>
                <w:sz w:val="20"/>
                <w:szCs w:val="20"/>
              </w:rPr>
            </w:pPr>
          </w:p>
        </w:tc>
        <w:tc>
          <w:tcPr>
            <w:tcW w:w="2723" w:type="dxa"/>
          </w:tcPr>
          <w:p w:rsidR="006B62A4" w:rsidRPr="006B62A4" w:rsidRDefault="006B62A4" w:rsidP="006B62A4">
            <w:pPr>
              <w:jc w:val="both"/>
              <w:rPr>
                <w:rFonts w:ascii="Times New Roman" w:eastAsia="Calibri" w:hAnsi="Times New Roman"/>
                <w:sz w:val="20"/>
                <w:szCs w:val="20"/>
                <w:lang w:val="en-US"/>
              </w:rPr>
            </w:pPr>
            <w:r w:rsidRPr="006B62A4">
              <w:rPr>
                <w:rFonts w:ascii="Times New Roman" w:eastAsia="Calibri" w:hAnsi="Times New Roman"/>
                <w:sz w:val="20"/>
                <w:szCs w:val="20"/>
                <w:lang w:val="en-US"/>
              </w:rPr>
              <w:t>Restriction has been documented for accountability purposes</w:t>
            </w:r>
          </w:p>
        </w:tc>
        <w:tc>
          <w:tcPr>
            <w:tcW w:w="2723" w:type="dxa"/>
          </w:tcPr>
          <w:p w:rsidR="006B62A4" w:rsidRPr="006B62A4" w:rsidRDefault="006B62A4" w:rsidP="006B62A4">
            <w:pPr>
              <w:jc w:val="both"/>
              <w:rPr>
                <w:rFonts w:ascii="Times New Roman" w:eastAsia="Calibri" w:hAnsi="Times New Roman"/>
                <w:sz w:val="20"/>
                <w:szCs w:val="20"/>
                <w:lang w:val="en-US"/>
              </w:rPr>
            </w:pPr>
          </w:p>
        </w:tc>
        <w:tc>
          <w:tcPr>
            <w:tcW w:w="2724" w:type="dxa"/>
          </w:tcPr>
          <w:p w:rsidR="006B62A4" w:rsidRPr="006B62A4" w:rsidRDefault="006B62A4" w:rsidP="006B62A4">
            <w:pPr>
              <w:jc w:val="both"/>
              <w:rPr>
                <w:rFonts w:ascii="Times New Roman" w:eastAsia="Calibri" w:hAnsi="Times New Roman"/>
                <w:sz w:val="20"/>
                <w:szCs w:val="20"/>
                <w:lang w:val="en-US"/>
              </w:rPr>
            </w:pPr>
          </w:p>
        </w:tc>
      </w:tr>
      <w:tr w:rsidR="006B62A4" w:rsidRPr="006B62A4" w:rsidTr="00954D07">
        <w:tc>
          <w:tcPr>
            <w:tcW w:w="846" w:type="dxa"/>
          </w:tcPr>
          <w:p w:rsidR="006B62A4" w:rsidRPr="006B62A4" w:rsidRDefault="006B62A4" w:rsidP="006B62A4">
            <w:pPr>
              <w:numPr>
                <w:ilvl w:val="0"/>
                <w:numId w:val="2"/>
              </w:numPr>
              <w:contextualSpacing/>
              <w:jc w:val="both"/>
              <w:rPr>
                <w:rFonts w:ascii="Times New Roman" w:eastAsia="Calibri" w:hAnsi="Times New Roman"/>
                <w:sz w:val="20"/>
                <w:szCs w:val="20"/>
              </w:rPr>
            </w:pPr>
          </w:p>
        </w:tc>
        <w:tc>
          <w:tcPr>
            <w:tcW w:w="2723" w:type="dxa"/>
          </w:tcPr>
          <w:p w:rsidR="006B62A4" w:rsidRPr="006B62A4" w:rsidRDefault="006B62A4" w:rsidP="006B62A4">
            <w:pPr>
              <w:rPr>
                <w:rFonts w:ascii="Times New Roman" w:eastAsia="Calibri" w:hAnsi="Times New Roman"/>
                <w:sz w:val="20"/>
                <w:szCs w:val="20"/>
                <w:lang w:val="en-US"/>
              </w:rPr>
            </w:pPr>
            <w:r w:rsidRPr="006B62A4">
              <w:rPr>
                <w:rFonts w:ascii="Times New Roman" w:eastAsia="Calibri" w:hAnsi="Times New Roman"/>
                <w:sz w:val="20"/>
                <w:szCs w:val="20"/>
                <w:lang w:val="en-US"/>
              </w:rPr>
              <w:t xml:space="preserve">Restriction </w:t>
            </w:r>
            <w:proofErr w:type="gramStart"/>
            <w:r w:rsidRPr="006B62A4">
              <w:rPr>
                <w:rFonts w:ascii="Times New Roman" w:eastAsia="Calibri" w:hAnsi="Times New Roman"/>
                <w:sz w:val="20"/>
                <w:szCs w:val="20"/>
                <w:lang w:val="en-US"/>
              </w:rPr>
              <w:t>is being monitored</w:t>
            </w:r>
            <w:proofErr w:type="gramEnd"/>
            <w:r w:rsidRPr="006B62A4">
              <w:rPr>
                <w:rFonts w:ascii="Times New Roman" w:eastAsia="Calibri" w:hAnsi="Times New Roman"/>
                <w:sz w:val="20"/>
                <w:szCs w:val="20"/>
                <w:lang w:val="en-US"/>
              </w:rPr>
              <w:t xml:space="preserve"> on a regular basis.</w:t>
            </w:r>
          </w:p>
        </w:tc>
        <w:tc>
          <w:tcPr>
            <w:tcW w:w="2723" w:type="dxa"/>
          </w:tcPr>
          <w:p w:rsidR="006B62A4" w:rsidRPr="006B62A4" w:rsidRDefault="006B62A4" w:rsidP="006B62A4">
            <w:pPr>
              <w:jc w:val="both"/>
              <w:rPr>
                <w:rFonts w:ascii="Times New Roman" w:eastAsia="Calibri" w:hAnsi="Times New Roman"/>
                <w:sz w:val="20"/>
                <w:szCs w:val="20"/>
                <w:lang w:val="en-US"/>
              </w:rPr>
            </w:pPr>
          </w:p>
        </w:tc>
        <w:tc>
          <w:tcPr>
            <w:tcW w:w="2724" w:type="dxa"/>
          </w:tcPr>
          <w:p w:rsidR="006B62A4" w:rsidRPr="006B62A4" w:rsidRDefault="006B62A4" w:rsidP="006B62A4">
            <w:pPr>
              <w:jc w:val="both"/>
              <w:rPr>
                <w:rFonts w:ascii="Times New Roman" w:eastAsia="Calibri" w:hAnsi="Times New Roman"/>
                <w:sz w:val="20"/>
                <w:szCs w:val="20"/>
                <w:lang w:val="en-US"/>
              </w:rPr>
            </w:pPr>
          </w:p>
        </w:tc>
      </w:tr>
    </w:tbl>
    <w:p w:rsidR="006B62A4" w:rsidRPr="006B62A4" w:rsidRDefault="006B62A4" w:rsidP="006B62A4">
      <w:pPr>
        <w:spacing w:after="0" w:line="240" w:lineRule="auto"/>
        <w:rPr>
          <w:rFonts w:ascii="Times New Roman" w:eastAsia="Times New Roman" w:hAnsi="Times New Roman" w:cs="Times New Roman"/>
          <w:lang w:val="en-US" w:eastAsia="en-GB"/>
        </w:rPr>
      </w:pPr>
    </w:p>
    <w:p w:rsidR="006B62A4" w:rsidRPr="006B62A4" w:rsidRDefault="006B62A4" w:rsidP="006B62A4">
      <w:pPr>
        <w:spacing w:after="0" w:line="240" w:lineRule="auto"/>
        <w:jc w:val="both"/>
        <w:rPr>
          <w:rFonts w:ascii="Times New Roman" w:eastAsia="Times New Roman" w:hAnsi="Times New Roman" w:cs="Times New Roman"/>
          <w:sz w:val="24"/>
          <w:szCs w:val="24"/>
          <w:lang w:val="en-US" w:eastAsia="en-GB"/>
        </w:rPr>
      </w:pPr>
    </w:p>
    <w:p w:rsidR="006B62A4" w:rsidRPr="006B62A4" w:rsidRDefault="006B62A4" w:rsidP="006B62A4">
      <w:pPr>
        <w:spacing w:after="0" w:line="240" w:lineRule="auto"/>
        <w:jc w:val="both"/>
        <w:rPr>
          <w:rFonts w:ascii="Times New Roman" w:eastAsia="Times New Roman" w:hAnsi="Times New Roman" w:cs="Times New Roman"/>
          <w:sz w:val="24"/>
          <w:szCs w:val="24"/>
          <w:lang w:val="en-US" w:eastAsia="en-GB"/>
        </w:rPr>
      </w:pPr>
      <w:r w:rsidRPr="006B62A4">
        <w:rPr>
          <w:rFonts w:ascii="Times New Roman" w:eastAsia="Times New Roman" w:hAnsi="Times New Roman" w:cs="Times New Roman"/>
          <w:sz w:val="24"/>
          <w:szCs w:val="24"/>
          <w:lang w:eastAsia="en-GB"/>
        </w:rPr>
        <w:t>T</w:t>
      </w:r>
      <w:r w:rsidRPr="006B62A4">
        <w:rPr>
          <w:rFonts w:ascii="Times New Roman" w:eastAsia="Times New Roman" w:hAnsi="Times New Roman" w:cs="Times New Roman"/>
          <w:sz w:val="24"/>
          <w:szCs w:val="24"/>
          <w:lang w:val="en-US" w:eastAsia="en-GB"/>
        </w:rPr>
        <w:t>he EDPS Guidance on Article 25 of the Regulation 2018/1725 and internal rules updated on 24 June 2020</w:t>
      </w:r>
      <w:r w:rsidRPr="006B62A4">
        <w:rPr>
          <w:rFonts w:ascii="Times New Roman" w:eastAsia="Times New Roman" w:hAnsi="Times New Roman" w:cs="Times New Roman"/>
          <w:position w:val="6"/>
          <w:sz w:val="16"/>
          <w:szCs w:val="24"/>
          <w:lang w:val="en-US" w:eastAsia="en-GB"/>
        </w:rPr>
        <w:footnoteReference w:id="1"/>
      </w:r>
      <w:r w:rsidRPr="006B62A4">
        <w:rPr>
          <w:rFonts w:ascii="Times New Roman" w:eastAsia="Times New Roman" w:hAnsi="Times New Roman" w:cs="Times New Roman"/>
          <w:sz w:val="24"/>
          <w:szCs w:val="24"/>
          <w:lang w:val="en-US" w:eastAsia="en-GB"/>
        </w:rPr>
        <w:t xml:space="preserve"> contains the following guidance on the application of a restriction under Article 25 in a concrete case:</w:t>
      </w:r>
    </w:p>
    <w:p w:rsidR="006B62A4" w:rsidRPr="006B62A4" w:rsidRDefault="006B62A4" w:rsidP="006B62A4">
      <w:pPr>
        <w:spacing w:after="0" w:line="240" w:lineRule="auto"/>
        <w:jc w:val="both"/>
        <w:rPr>
          <w:rFonts w:ascii="Times New Roman" w:eastAsia="Times New Roman" w:hAnsi="Times New Roman" w:cs="Times New Roman"/>
          <w:sz w:val="24"/>
          <w:szCs w:val="24"/>
          <w:lang w:val="en-US" w:eastAsia="en-GB"/>
        </w:rPr>
      </w:pPr>
    </w:p>
    <w:p w:rsidR="006B62A4" w:rsidRPr="006B62A4" w:rsidRDefault="006B62A4" w:rsidP="006B62A4">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lang w:val="en-US" w:eastAsia="en-GB"/>
        </w:rPr>
      </w:pPr>
      <w:r w:rsidRPr="006B62A4">
        <w:rPr>
          <w:rFonts w:ascii="Times New Roman" w:eastAsia="Times New Roman" w:hAnsi="Times New Roman" w:cs="Times New Roman"/>
          <w:lang w:val="en-US" w:eastAsia="en-GB"/>
        </w:rPr>
        <w:t>R1: Perform a necessity and proportionality test on the need for restriction</w:t>
      </w:r>
      <w:r w:rsidRPr="006B62A4">
        <w:rPr>
          <w:rFonts w:ascii="Times New Roman" w:eastAsia="Times New Roman" w:hAnsi="Times New Roman" w:cs="Times New Roman"/>
          <w:position w:val="6"/>
          <w:sz w:val="16"/>
          <w:szCs w:val="16"/>
          <w:lang w:val="en-US" w:eastAsia="en-GB"/>
        </w:rPr>
        <w:footnoteReference w:id="2"/>
      </w:r>
      <w:proofErr w:type="gramStart"/>
      <w:r w:rsidRPr="006B62A4">
        <w:rPr>
          <w:rFonts w:ascii="Times New Roman" w:eastAsia="Times New Roman" w:hAnsi="Times New Roman" w:cs="Times New Roman"/>
          <w:lang w:val="en-US" w:eastAsia="en-GB"/>
        </w:rPr>
        <w:t>;</w:t>
      </w:r>
      <w:proofErr w:type="gramEnd"/>
    </w:p>
    <w:p w:rsidR="006B62A4" w:rsidRPr="006B62A4" w:rsidRDefault="006B62A4" w:rsidP="006B62A4">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lang w:val="en-US" w:eastAsia="en-GB"/>
        </w:rPr>
      </w:pPr>
    </w:p>
    <w:p w:rsidR="006B62A4" w:rsidRPr="006B62A4" w:rsidRDefault="006B62A4" w:rsidP="006B62A4">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lang w:val="en-US" w:eastAsia="en-GB"/>
        </w:rPr>
      </w:pPr>
      <w:r w:rsidRPr="006B62A4">
        <w:rPr>
          <w:rFonts w:ascii="Times New Roman" w:eastAsia="Times New Roman" w:hAnsi="Times New Roman" w:cs="Times New Roman"/>
          <w:lang w:val="en-US" w:eastAsia="en-GB"/>
        </w:rPr>
        <w:t xml:space="preserve">R2: Inform data subjects using a general data protection </w:t>
      </w:r>
      <w:proofErr w:type="gramStart"/>
      <w:r w:rsidRPr="006B62A4">
        <w:rPr>
          <w:rFonts w:ascii="Times New Roman" w:eastAsia="Times New Roman" w:hAnsi="Times New Roman" w:cs="Times New Roman"/>
          <w:lang w:val="en-US" w:eastAsia="en-GB"/>
        </w:rPr>
        <w:t>notice which</w:t>
      </w:r>
      <w:proofErr w:type="gramEnd"/>
      <w:r w:rsidRPr="006B62A4">
        <w:rPr>
          <w:rFonts w:ascii="Times New Roman" w:eastAsia="Times New Roman" w:hAnsi="Times New Roman" w:cs="Times New Roman"/>
          <w:lang w:val="en-US" w:eastAsia="en-GB"/>
        </w:rPr>
        <w:t xml:space="preserve"> includes information on potential restrictions;</w:t>
      </w:r>
    </w:p>
    <w:p w:rsidR="006B62A4" w:rsidRPr="006B62A4" w:rsidRDefault="006B62A4" w:rsidP="006B62A4">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lang w:val="en-US" w:eastAsia="en-GB"/>
        </w:rPr>
      </w:pPr>
    </w:p>
    <w:p w:rsidR="006B62A4" w:rsidRPr="006B62A4" w:rsidRDefault="006B62A4" w:rsidP="006B62A4">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lang w:val="en-US" w:eastAsia="en-GB"/>
        </w:rPr>
      </w:pPr>
      <w:r w:rsidRPr="006B62A4">
        <w:rPr>
          <w:rFonts w:ascii="Times New Roman" w:eastAsia="Times New Roman" w:hAnsi="Times New Roman" w:cs="Times New Roman"/>
          <w:lang w:val="en-US" w:eastAsia="en-GB"/>
        </w:rPr>
        <w:t>R3: Restrict on a case-by-case basis only</w:t>
      </w:r>
      <w:proofErr w:type="gramStart"/>
      <w:r w:rsidRPr="006B62A4">
        <w:rPr>
          <w:rFonts w:ascii="Times New Roman" w:eastAsia="Times New Roman" w:hAnsi="Times New Roman" w:cs="Times New Roman"/>
          <w:lang w:val="en-US" w:eastAsia="en-GB"/>
        </w:rPr>
        <w:t>;</w:t>
      </w:r>
      <w:proofErr w:type="gramEnd"/>
    </w:p>
    <w:p w:rsidR="006B62A4" w:rsidRPr="006B62A4" w:rsidRDefault="006B62A4" w:rsidP="006B62A4">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lang w:val="en-US" w:eastAsia="en-GB"/>
        </w:rPr>
      </w:pPr>
    </w:p>
    <w:p w:rsidR="006B62A4" w:rsidRPr="006B62A4" w:rsidRDefault="006B62A4" w:rsidP="006B62A4">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lang w:val="en-US" w:eastAsia="en-GB"/>
        </w:rPr>
      </w:pPr>
      <w:r w:rsidRPr="006B62A4">
        <w:rPr>
          <w:rFonts w:ascii="Times New Roman" w:eastAsia="Times New Roman" w:hAnsi="Times New Roman" w:cs="Times New Roman"/>
          <w:lang w:val="en-US" w:eastAsia="en-GB"/>
        </w:rPr>
        <w:t>R4: Restrict to the least extent possible (a ‘restriction within the restriction’ should apply as regards the rights and the extent of the restriction)</w:t>
      </w:r>
      <w:proofErr w:type="gramStart"/>
      <w:r w:rsidRPr="006B62A4">
        <w:rPr>
          <w:rFonts w:ascii="Times New Roman" w:eastAsia="Times New Roman" w:hAnsi="Times New Roman" w:cs="Times New Roman"/>
          <w:lang w:val="en-US" w:eastAsia="en-GB"/>
        </w:rPr>
        <w:t>;</w:t>
      </w:r>
      <w:proofErr w:type="gramEnd"/>
    </w:p>
    <w:p w:rsidR="006B62A4" w:rsidRPr="006B62A4" w:rsidRDefault="006B62A4" w:rsidP="006B62A4">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lang w:val="en-US" w:eastAsia="en-GB"/>
        </w:rPr>
      </w:pPr>
    </w:p>
    <w:p w:rsidR="006B62A4" w:rsidRPr="006B62A4" w:rsidRDefault="006B62A4" w:rsidP="006B62A4">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lang w:val="en-US" w:eastAsia="en-GB"/>
        </w:rPr>
      </w:pPr>
      <w:r w:rsidRPr="006B62A4">
        <w:rPr>
          <w:rFonts w:ascii="Times New Roman" w:eastAsia="Times New Roman" w:hAnsi="Times New Roman" w:cs="Times New Roman"/>
          <w:lang w:val="en-US" w:eastAsia="en-GB"/>
        </w:rPr>
        <w:t>R5: Restrictions should be temporary and be lifted when their causes no longer apply;</w:t>
      </w:r>
    </w:p>
    <w:p w:rsidR="006B62A4" w:rsidRPr="006B62A4" w:rsidRDefault="006B62A4" w:rsidP="006B62A4">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lang w:val="en-US" w:eastAsia="en-GB"/>
        </w:rPr>
      </w:pPr>
    </w:p>
    <w:p w:rsidR="006B62A4" w:rsidRPr="006B62A4" w:rsidRDefault="006B62A4" w:rsidP="006B62A4">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lang w:val="en-US" w:eastAsia="en-GB"/>
        </w:rPr>
      </w:pPr>
      <w:r w:rsidRPr="006B62A4">
        <w:rPr>
          <w:rFonts w:ascii="Times New Roman" w:eastAsia="Times New Roman" w:hAnsi="Times New Roman" w:cs="Times New Roman"/>
          <w:lang w:val="en-US" w:eastAsia="en-GB"/>
        </w:rPr>
        <w:t>R6: Consult the DPO before and during the restriction (the controller should involve the DPO throughout the procedure and document this consultation);</w:t>
      </w:r>
    </w:p>
    <w:p w:rsidR="006B62A4" w:rsidRPr="006B62A4" w:rsidRDefault="006B62A4" w:rsidP="006B62A4">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lang w:val="en-US" w:eastAsia="en-GB"/>
        </w:rPr>
      </w:pPr>
    </w:p>
    <w:p w:rsidR="006B62A4" w:rsidRPr="006B62A4" w:rsidRDefault="006B62A4" w:rsidP="006B62A4">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lang w:val="en-US" w:eastAsia="en-GB"/>
        </w:rPr>
      </w:pPr>
      <w:r w:rsidRPr="006B62A4">
        <w:rPr>
          <w:rFonts w:ascii="Times New Roman" w:eastAsia="Times New Roman" w:hAnsi="Times New Roman" w:cs="Times New Roman"/>
          <w:lang w:val="en-US" w:eastAsia="en-GB"/>
        </w:rPr>
        <w:t>R7: Document restrictions for accountability purposes</w:t>
      </w:r>
      <w:proofErr w:type="gramStart"/>
      <w:r w:rsidRPr="006B62A4">
        <w:rPr>
          <w:rFonts w:ascii="Times New Roman" w:eastAsia="Times New Roman" w:hAnsi="Times New Roman" w:cs="Times New Roman"/>
          <w:lang w:val="en-US" w:eastAsia="en-GB"/>
        </w:rPr>
        <w:t>;</w:t>
      </w:r>
      <w:proofErr w:type="gramEnd"/>
    </w:p>
    <w:p w:rsidR="006B62A4" w:rsidRPr="006B62A4" w:rsidRDefault="006B62A4" w:rsidP="006B62A4">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lang w:val="en-US" w:eastAsia="en-GB"/>
        </w:rPr>
      </w:pPr>
    </w:p>
    <w:p w:rsidR="006B62A4" w:rsidRPr="006B62A4" w:rsidRDefault="006B62A4" w:rsidP="006B62A4">
      <w:p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lang w:val="en-US" w:eastAsia="en-GB"/>
        </w:rPr>
      </w:pPr>
      <w:r w:rsidRPr="006B62A4">
        <w:rPr>
          <w:rFonts w:ascii="Times New Roman" w:eastAsia="Times New Roman" w:hAnsi="Times New Roman" w:cs="Times New Roman"/>
          <w:lang w:val="en-US" w:eastAsia="en-GB"/>
        </w:rPr>
        <w:t>R8: Monitor your restriction on a regular basis.</w:t>
      </w:r>
    </w:p>
    <w:p w:rsidR="006B62A4" w:rsidRPr="006B62A4" w:rsidRDefault="006B62A4" w:rsidP="006B62A4">
      <w:pPr>
        <w:spacing w:after="0" w:line="240" w:lineRule="auto"/>
        <w:rPr>
          <w:rFonts w:ascii="Times New Roman" w:eastAsia="Times New Roman" w:hAnsi="Times New Roman" w:cs="Times New Roman"/>
          <w:lang w:val="en-US" w:eastAsia="en-GB"/>
        </w:rPr>
      </w:pPr>
    </w:p>
    <w:p w:rsidR="006B62A4" w:rsidRPr="006B62A4" w:rsidRDefault="006B62A4" w:rsidP="006B62A4">
      <w:pPr>
        <w:spacing w:after="0" w:line="240" w:lineRule="auto"/>
        <w:rPr>
          <w:rFonts w:ascii="Times New Roman" w:eastAsia="Times New Roman" w:hAnsi="Times New Roman" w:cs="Times New Roman"/>
          <w:lang w:val="en-US" w:eastAsia="en-GB"/>
        </w:rPr>
      </w:pPr>
    </w:p>
    <w:p w:rsidR="006B62A4" w:rsidRPr="006B62A4" w:rsidRDefault="006B62A4" w:rsidP="006B62A4">
      <w:pPr>
        <w:spacing w:after="0" w:line="240" w:lineRule="auto"/>
        <w:jc w:val="both"/>
        <w:rPr>
          <w:rFonts w:ascii="Times New Roman" w:eastAsia="Times New Roman" w:hAnsi="Times New Roman" w:cs="Times New Roman"/>
          <w:sz w:val="24"/>
          <w:szCs w:val="24"/>
          <w:lang w:eastAsia="en-GB"/>
        </w:rPr>
      </w:pPr>
      <w:r w:rsidRPr="006B62A4">
        <w:rPr>
          <w:rFonts w:ascii="Times New Roman" w:eastAsia="Times New Roman" w:hAnsi="Times New Roman" w:cs="Times New Roman"/>
          <w:sz w:val="24"/>
          <w:szCs w:val="24"/>
          <w:lang w:val="en-US" w:eastAsia="en-GB"/>
        </w:rPr>
        <w:t>In phase a) of the audit, DPOs will be invited to -in cooperation with the staff member(s) responsible on behalf of the controller- provide replies (</w:t>
      </w:r>
      <w:r w:rsidRPr="006B62A4">
        <w:rPr>
          <w:rFonts w:ascii="Times New Roman" w:eastAsia="Times New Roman" w:hAnsi="Times New Roman" w:cs="Times New Roman"/>
          <w:b/>
          <w:sz w:val="24"/>
          <w:szCs w:val="24"/>
          <w:lang w:val="en-US" w:eastAsia="en-GB"/>
        </w:rPr>
        <w:t>self-assessment</w:t>
      </w:r>
      <w:r w:rsidRPr="006B62A4">
        <w:rPr>
          <w:rFonts w:ascii="Times New Roman" w:eastAsia="Times New Roman" w:hAnsi="Times New Roman" w:cs="Times New Roman"/>
          <w:sz w:val="24"/>
          <w:szCs w:val="24"/>
          <w:lang w:val="en-US" w:eastAsia="en-GB"/>
        </w:rPr>
        <w:t>) by filling in the above checklist and provide a copy of the decision taken (</w:t>
      </w:r>
      <w:r w:rsidRPr="006B62A4">
        <w:rPr>
          <w:rFonts w:ascii="Times New Roman" w:eastAsia="Times New Roman" w:hAnsi="Times New Roman" w:cs="Times New Roman"/>
          <w:sz w:val="24"/>
          <w:szCs w:val="24"/>
          <w:lang w:eastAsia="en-GB"/>
        </w:rPr>
        <w:t>with the name of the data subject and any other identifiers blackened out).</w:t>
      </w:r>
    </w:p>
    <w:p w:rsidR="006B62A4" w:rsidRPr="006B62A4" w:rsidRDefault="006B62A4" w:rsidP="006B62A4">
      <w:pPr>
        <w:spacing w:after="0" w:line="240" w:lineRule="auto"/>
        <w:jc w:val="both"/>
        <w:rPr>
          <w:rFonts w:ascii="Times New Roman" w:eastAsia="Times New Roman" w:hAnsi="Times New Roman" w:cs="Times New Roman"/>
          <w:sz w:val="24"/>
          <w:szCs w:val="24"/>
          <w:lang w:eastAsia="en-GB"/>
        </w:rPr>
      </w:pPr>
    </w:p>
    <w:p w:rsidR="006B62A4" w:rsidRPr="006B62A4" w:rsidRDefault="006B62A4" w:rsidP="006B62A4">
      <w:pPr>
        <w:spacing w:after="0" w:line="240" w:lineRule="auto"/>
        <w:jc w:val="both"/>
        <w:rPr>
          <w:rFonts w:ascii="Times New Roman" w:eastAsia="Times New Roman" w:hAnsi="Times New Roman" w:cs="Times New Roman"/>
          <w:sz w:val="24"/>
          <w:szCs w:val="24"/>
          <w:lang w:val="en-US" w:eastAsia="en-GB"/>
        </w:rPr>
      </w:pPr>
      <w:r w:rsidRPr="006B62A4">
        <w:rPr>
          <w:rFonts w:ascii="Times New Roman" w:eastAsia="Times New Roman" w:hAnsi="Times New Roman" w:cs="Times New Roman"/>
          <w:sz w:val="24"/>
          <w:szCs w:val="24"/>
          <w:lang w:eastAsia="en-GB"/>
        </w:rPr>
        <w:t>During phase b) of the audit, the team leader is going to verify whether the decision identified in line with the checklist and evaluate the pieces of evidence submitted as well as the self-assessment provided</w:t>
      </w:r>
      <w:r w:rsidRPr="006B62A4">
        <w:rPr>
          <w:rFonts w:ascii="Times New Roman" w:eastAsia="Times New Roman" w:hAnsi="Times New Roman" w:cs="Times New Roman"/>
          <w:sz w:val="24"/>
          <w:szCs w:val="24"/>
          <w:lang w:val="en-US" w:eastAsia="en-GB"/>
        </w:rPr>
        <w:t>.</w:t>
      </w:r>
    </w:p>
    <w:p w:rsidR="006B62A4" w:rsidRPr="006B62A4" w:rsidRDefault="006B62A4" w:rsidP="006B62A4">
      <w:pPr>
        <w:spacing w:after="0" w:line="240" w:lineRule="auto"/>
        <w:rPr>
          <w:rFonts w:ascii="Times New Roman" w:eastAsia="Times New Roman" w:hAnsi="Times New Roman" w:cs="Times New Roman"/>
          <w:lang w:val="en-US" w:eastAsia="en-GB"/>
        </w:rPr>
      </w:pPr>
    </w:p>
    <w:p w:rsidR="006B62A4" w:rsidRPr="006B62A4" w:rsidRDefault="006B62A4" w:rsidP="006B62A4">
      <w:pPr>
        <w:spacing w:after="0" w:line="240" w:lineRule="auto"/>
        <w:rPr>
          <w:rFonts w:ascii="Times New Roman" w:eastAsia="Times New Roman" w:hAnsi="Times New Roman" w:cs="Times New Roman"/>
          <w:lang w:val="en-US" w:eastAsia="en-GB"/>
        </w:rPr>
      </w:pPr>
    </w:p>
    <w:p w:rsidR="00881914" w:rsidRPr="006B62A4" w:rsidRDefault="00881914">
      <w:pPr>
        <w:rPr>
          <w:rFonts w:ascii="Times New Roman" w:hAnsi="Times New Roman" w:cs="Times New Roman"/>
          <w:lang w:val="en-US"/>
        </w:rPr>
      </w:pPr>
    </w:p>
    <w:sectPr w:rsidR="00881914" w:rsidRPr="006B62A4" w:rsidSect="002378C8">
      <w:headerReference w:type="default" r:id="rId7"/>
      <w:headerReference w:type="first" r:id="rId8"/>
      <w:footerReference w:type="first" r:id="rId9"/>
      <w:pgSz w:w="11906" w:h="16838" w:code="9"/>
      <w:pgMar w:top="1134" w:right="1418" w:bottom="1134" w:left="141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2A4" w:rsidRDefault="006B62A4" w:rsidP="006B62A4">
      <w:pPr>
        <w:spacing w:after="0" w:line="240" w:lineRule="auto"/>
      </w:pPr>
      <w:r>
        <w:separator/>
      </w:r>
    </w:p>
  </w:endnote>
  <w:endnote w:type="continuationSeparator" w:id="0">
    <w:p w:rsidR="006B62A4" w:rsidRDefault="006B62A4" w:rsidP="006B6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5739958"/>
      <w:docPartObj>
        <w:docPartGallery w:val="Page Numbers (Bottom of Page)"/>
        <w:docPartUnique/>
      </w:docPartObj>
    </w:sdtPr>
    <w:sdtEndPr>
      <w:rPr>
        <w:noProof/>
      </w:rPr>
    </w:sdtEndPr>
    <w:sdtContent>
      <w:p w:rsidR="00D467CD" w:rsidRDefault="006B62A4">
        <w:pPr>
          <w:pStyle w:val="Footer"/>
          <w:jc w:val="right"/>
        </w:pPr>
        <w:r>
          <w:fldChar w:fldCharType="begin"/>
        </w:r>
        <w:r>
          <w:instrText xml:space="preserve"> PAGE   \* MERGEFORMAT </w:instrText>
        </w:r>
        <w:r>
          <w:fldChar w:fldCharType="separate"/>
        </w:r>
        <w:r w:rsidR="007E5DCF">
          <w:rPr>
            <w:noProof/>
          </w:rPr>
          <w:t>1</w:t>
        </w:r>
        <w:r>
          <w:rPr>
            <w:noProof/>
          </w:rPr>
          <w:fldChar w:fldCharType="end"/>
        </w:r>
      </w:p>
    </w:sdtContent>
  </w:sdt>
  <w:p w:rsidR="00D467CD" w:rsidRPr="006201EC" w:rsidRDefault="007E5DCF" w:rsidP="006201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2A4" w:rsidRDefault="006B62A4" w:rsidP="006B62A4">
      <w:pPr>
        <w:spacing w:after="0" w:line="240" w:lineRule="auto"/>
      </w:pPr>
      <w:r>
        <w:separator/>
      </w:r>
    </w:p>
  </w:footnote>
  <w:footnote w:type="continuationSeparator" w:id="0">
    <w:p w:rsidR="006B62A4" w:rsidRDefault="006B62A4" w:rsidP="006B62A4">
      <w:pPr>
        <w:spacing w:after="0" w:line="240" w:lineRule="auto"/>
      </w:pPr>
      <w:r>
        <w:continuationSeparator/>
      </w:r>
    </w:p>
  </w:footnote>
  <w:footnote w:id="1">
    <w:p w:rsidR="006B62A4" w:rsidRPr="006B62A4" w:rsidRDefault="006B62A4" w:rsidP="006B62A4">
      <w:pPr>
        <w:pStyle w:val="FootnoteText"/>
        <w:rPr>
          <w:rFonts w:ascii="Times New Roman" w:hAnsi="Times New Roman" w:cs="Times New Roman"/>
        </w:rPr>
      </w:pPr>
      <w:r w:rsidRPr="006B62A4">
        <w:rPr>
          <w:rStyle w:val="FootnoteReference"/>
          <w:rFonts w:ascii="Times New Roman" w:hAnsi="Times New Roman" w:cs="Times New Roman"/>
        </w:rPr>
        <w:footnoteRef/>
      </w:r>
      <w:r w:rsidRPr="006B62A4">
        <w:rPr>
          <w:rFonts w:ascii="Times New Roman" w:hAnsi="Times New Roman" w:cs="Times New Roman"/>
        </w:rPr>
        <w:t xml:space="preserve"> See </w:t>
      </w:r>
      <w:hyperlink r:id="rId1" w:history="1">
        <w:r w:rsidRPr="006B62A4">
          <w:rPr>
            <w:rStyle w:val="Hyperlink"/>
            <w:rFonts w:ascii="Times New Roman" w:hAnsi="Times New Roman" w:cs="Times New Roman"/>
          </w:rPr>
          <w:t>https://edps.europa.eu/sites/edp/files/publication/20-06-24_edps_guidance_on_article_25_of_the_new_regulation_and_internal_rules_en.pdf</w:t>
        </w:r>
      </w:hyperlink>
      <w:r w:rsidRPr="006B62A4">
        <w:rPr>
          <w:rStyle w:val="Hyperlink"/>
          <w:rFonts w:ascii="Times New Roman" w:hAnsi="Times New Roman" w:cs="Times New Roman"/>
        </w:rPr>
        <w:t>.</w:t>
      </w:r>
    </w:p>
  </w:footnote>
  <w:footnote w:id="2">
    <w:p w:rsidR="006B62A4" w:rsidRPr="006B62A4" w:rsidRDefault="006B62A4" w:rsidP="006B62A4">
      <w:pPr>
        <w:pStyle w:val="FootnoteText"/>
        <w:rPr>
          <w:rFonts w:ascii="Times New Roman" w:hAnsi="Times New Roman" w:cs="Times New Roman"/>
          <w:lang w:val="en-US"/>
        </w:rPr>
      </w:pPr>
      <w:r w:rsidRPr="006B62A4">
        <w:rPr>
          <w:rStyle w:val="FootnoteReference"/>
          <w:rFonts w:ascii="Times New Roman" w:hAnsi="Times New Roman" w:cs="Times New Roman"/>
        </w:rPr>
        <w:footnoteRef/>
      </w:r>
      <w:r w:rsidRPr="006B62A4">
        <w:rPr>
          <w:rFonts w:ascii="Times New Roman" w:hAnsi="Times New Roman" w:cs="Times New Roman"/>
        </w:rPr>
        <w:t xml:space="preserve"> </w:t>
      </w:r>
      <w:r w:rsidRPr="006B62A4">
        <w:rPr>
          <w:rFonts w:ascii="Times New Roman" w:hAnsi="Times New Roman" w:cs="Times New Roman"/>
          <w:lang w:val="en-US"/>
        </w:rPr>
        <w:t>GL §18: “To be lawful, any limitation on the exercise of the fundamental rights protected by the Charter must comply with the following criteria, laid down in Article 52(1) of the Charter:</w:t>
      </w:r>
      <w:r w:rsidRPr="006B62A4">
        <w:rPr>
          <w:rFonts w:ascii="Times New Roman" w:hAnsi="Times New Roman" w:cs="Times New Roman"/>
        </w:rPr>
        <w:t xml:space="preserve"> </w:t>
      </w:r>
    </w:p>
    <w:p w:rsidR="006B62A4" w:rsidRPr="006B62A4" w:rsidRDefault="006B62A4" w:rsidP="006B62A4">
      <w:pPr>
        <w:pStyle w:val="FootnoteText"/>
        <w:numPr>
          <w:ilvl w:val="0"/>
          <w:numId w:val="1"/>
        </w:numPr>
        <w:rPr>
          <w:rFonts w:ascii="Times New Roman" w:hAnsi="Times New Roman" w:cs="Times New Roman"/>
          <w:lang w:val="en-US"/>
        </w:rPr>
      </w:pPr>
      <w:r w:rsidRPr="006B62A4">
        <w:rPr>
          <w:rFonts w:ascii="Times New Roman" w:hAnsi="Times New Roman" w:cs="Times New Roman"/>
          <w:lang w:val="en-US"/>
        </w:rPr>
        <w:t>it must be provided for by law,</w:t>
      </w:r>
    </w:p>
    <w:p w:rsidR="006B62A4" w:rsidRPr="006B62A4" w:rsidRDefault="006B62A4" w:rsidP="006B62A4">
      <w:pPr>
        <w:pStyle w:val="FootnoteText"/>
        <w:numPr>
          <w:ilvl w:val="0"/>
          <w:numId w:val="1"/>
        </w:numPr>
        <w:rPr>
          <w:rFonts w:ascii="Times New Roman" w:hAnsi="Times New Roman" w:cs="Times New Roman"/>
          <w:lang w:val="en-US"/>
        </w:rPr>
      </w:pPr>
      <w:r w:rsidRPr="006B62A4">
        <w:rPr>
          <w:rFonts w:ascii="Times New Roman" w:hAnsi="Times New Roman" w:cs="Times New Roman"/>
          <w:lang w:val="en-US"/>
        </w:rPr>
        <w:t>it must respect the essence of the rights,</w:t>
      </w:r>
    </w:p>
    <w:p w:rsidR="006B62A4" w:rsidRPr="006B62A4" w:rsidRDefault="006B62A4" w:rsidP="006B62A4">
      <w:pPr>
        <w:pStyle w:val="FootnoteText"/>
        <w:numPr>
          <w:ilvl w:val="0"/>
          <w:numId w:val="1"/>
        </w:numPr>
        <w:rPr>
          <w:rFonts w:ascii="Times New Roman" w:hAnsi="Times New Roman" w:cs="Times New Roman"/>
          <w:lang w:val="en-US"/>
        </w:rPr>
      </w:pPr>
      <w:r w:rsidRPr="006B62A4">
        <w:rPr>
          <w:rFonts w:ascii="Times New Roman" w:hAnsi="Times New Roman" w:cs="Times New Roman"/>
          <w:lang w:val="en-US"/>
        </w:rPr>
        <w:t xml:space="preserve">it must genuinely meet objectives of general interest </w:t>
      </w:r>
      <w:proofErr w:type="spellStart"/>
      <w:r w:rsidRPr="006B62A4">
        <w:rPr>
          <w:rFonts w:ascii="Times New Roman" w:hAnsi="Times New Roman" w:cs="Times New Roman"/>
          <w:lang w:val="en-US"/>
        </w:rPr>
        <w:t>recognised</w:t>
      </w:r>
      <w:proofErr w:type="spellEnd"/>
      <w:r w:rsidRPr="006B62A4">
        <w:rPr>
          <w:rFonts w:ascii="Times New Roman" w:hAnsi="Times New Roman" w:cs="Times New Roman"/>
          <w:lang w:val="en-US"/>
        </w:rPr>
        <w:t xml:space="preserve"> by the EU or the need to protect the rights and freedoms of others,</w:t>
      </w:r>
    </w:p>
    <w:p w:rsidR="006B62A4" w:rsidRPr="006B62A4" w:rsidRDefault="006B62A4" w:rsidP="006B62A4">
      <w:pPr>
        <w:pStyle w:val="FootnoteText"/>
        <w:numPr>
          <w:ilvl w:val="0"/>
          <w:numId w:val="1"/>
        </w:numPr>
        <w:rPr>
          <w:rFonts w:ascii="Times New Roman" w:hAnsi="Times New Roman" w:cs="Times New Roman"/>
          <w:lang w:val="en-US"/>
        </w:rPr>
      </w:pPr>
      <w:r w:rsidRPr="006B62A4">
        <w:rPr>
          <w:rFonts w:ascii="Times New Roman" w:hAnsi="Times New Roman" w:cs="Times New Roman"/>
          <w:lang w:val="en-US"/>
        </w:rPr>
        <w:t>it must be necessary and</w:t>
      </w:r>
    </w:p>
    <w:p w:rsidR="006B62A4" w:rsidRPr="006B62A4" w:rsidRDefault="006B62A4" w:rsidP="006B62A4">
      <w:pPr>
        <w:pStyle w:val="FootnoteText"/>
        <w:numPr>
          <w:ilvl w:val="0"/>
          <w:numId w:val="1"/>
        </w:numPr>
        <w:rPr>
          <w:rFonts w:ascii="Times New Roman" w:hAnsi="Times New Roman" w:cs="Times New Roman"/>
          <w:lang w:val="en-US"/>
        </w:rPr>
      </w:pPr>
      <w:proofErr w:type="gramStart"/>
      <w:r w:rsidRPr="006B62A4">
        <w:rPr>
          <w:rFonts w:ascii="Times New Roman" w:hAnsi="Times New Roman" w:cs="Times New Roman"/>
          <w:lang w:val="en-US"/>
        </w:rPr>
        <w:t>it</w:t>
      </w:r>
      <w:proofErr w:type="gramEnd"/>
      <w:r w:rsidRPr="006B62A4">
        <w:rPr>
          <w:rFonts w:ascii="Times New Roman" w:hAnsi="Times New Roman" w:cs="Times New Roman"/>
          <w:lang w:val="en-US"/>
        </w:rPr>
        <w:t xml:space="preserve"> must be proportional.”</w:t>
      </w:r>
    </w:p>
    <w:p w:rsidR="006B62A4" w:rsidRPr="00176E92" w:rsidRDefault="006B62A4" w:rsidP="006B62A4">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D" w:rsidRDefault="007E5DCF" w:rsidP="00D037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D" w:rsidRDefault="007E5DCF">
    <w:pPr>
      <w:pStyle w:val="Header"/>
    </w:pPr>
  </w:p>
  <w:p w:rsidR="00D467CD" w:rsidRDefault="007E5DCF">
    <w:pPr>
      <w:pStyle w:val="Header"/>
    </w:pPr>
  </w:p>
  <w:p w:rsidR="00D467CD" w:rsidRDefault="007E5DCF">
    <w:pPr>
      <w:pStyle w:val="Header"/>
    </w:pPr>
  </w:p>
  <w:p w:rsidR="00D467CD" w:rsidRDefault="007E5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06C6F"/>
    <w:multiLevelType w:val="hybridMultilevel"/>
    <w:tmpl w:val="426CA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492DDB"/>
    <w:multiLevelType w:val="hybridMultilevel"/>
    <w:tmpl w:val="AEE0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8A06E2"/>
    <w:multiLevelType w:val="hybridMultilevel"/>
    <w:tmpl w:val="807692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2A4"/>
    <w:rsid w:val="006B62A4"/>
    <w:rsid w:val="007E5DCF"/>
    <w:rsid w:val="00881914"/>
    <w:rsid w:val="00A75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8DBFF-4E05-4952-BB35-03AF567C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62A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B62A4"/>
  </w:style>
  <w:style w:type="paragraph" w:styleId="Footer">
    <w:name w:val="footer"/>
    <w:basedOn w:val="Normal"/>
    <w:link w:val="FooterChar"/>
    <w:uiPriority w:val="99"/>
    <w:semiHidden/>
    <w:unhideWhenUsed/>
    <w:rsid w:val="006B62A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B62A4"/>
  </w:style>
  <w:style w:type="paragraph" w:styleId="FootnoteText">
    <w:name w:val="footnote text"/>
    <w:basedOn w:val="Normal"/>
    <w:link w:val="FootnoteTextChar"/>
    <w:uiPriority w:val="99"/>
    <w:semiHidden/>
    <w:unhideWhenUsed/>
    <w:rsid w:val="006B62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62A4"/>
    <w:rPr>
      <w:sz w:val="20"/>
      <w:szCs w:val="20"/>
    </w:rPr>
  </w:style>
  <w:style w:type="character" w:styleId="Hyperlink">
    <w:name w:val="Hyperlink"/>
    <w:uiPriority w:val="99"/>
    <w:rsid w:val="006B62A4"/>
    <w:rPr>
      <w:color w:val="0000FF"/>
      <w:u w:val="single"/>
    </w:rPr>
  </w:style>
  <w:style w:type="character" w:styleId="FootnoteReference">
    <w:name w:val="footnote reference"/>
    <w:uiPriority w:val="99"/>
    <w:rsid w:val="006B62A4"/>
    <w:rPr>
      <w:rFonts w:ascii="TimesNewRomanPS" w:hAnsi="TimesNewRomanPS"/>
      <w:position w:val="6"/>
      <w:sz w:val="16"/>
    </w:rPr>
  </w:style>
  <w:style w:type="table" w:customStyle="1" w:styleId="TableGrid1">
    <w:name w:val="Table Grid1"/>
    <w:basedOn w:val="TableNormal"/>
    <w:next w:val="TableGrid"/>
    <w:uiPriority w:val="39"/>
    <w:rsid w:val="006B62A4"/>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B6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dps.europa.eu/sites/edp/files/publication/20-06-24_edps_guidance_on_article_25_of_the_new_regulation_and_internal_rule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KALLENBERGER Ute</dc:creator>
  <cp:keywords/>
  <dc:description/>
  <cp:lastModifiedBy>ALBINATI Francesco</cp:lastModifiedBy>
  <cp:revision>2</cp:revision>
  <cp:lastPrinted>2021-04-28T08:11:00Z</cp:lastPrinted>
  <dcterms:created xsi:type="dcterms:W3CDTF">2021-04-28T08:17:00Z</dcterms:created>
  <dcterms:modified xsi:type="dcterms:W3CDTF">2021-04-28T08:17:00Z</dcterms:modified>
</cp:coreProperties>
</file>