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b/>
          <w:color w:val="354152" w:themeColor="text2"/>
          <w:sz w:val="36"/>
        </w:rPr>
        <w:id w:val="1872948711"/>
        <w:docPartObj>
          <w:docPartGallery w:val="Cover Pages"/>
          <w:docPartUnique/>
        </w:docPartObj>
      </w:sdtPr>
      <w:sdtEndPr/>
      <w:sdtContent>
        <w:p w14:paraId="4BDFE233" w14:textId="77777777" w:rsidR="00A42B52" w:rsidRDefault="00A42B52" w:rsidP="0051656D">
          <w:r>
            <w:rPr>
              <w:noProof/>
              <w:lang w:val="en-GB" w:eastAsia="en-GB"/>
              <w14:numForm w14:val="default"/>
            </w:rPr>
            <w:drawing>
              <wp:anchor distT="0" distB="0" distL="114300" distR="114300" simplePos="0" relativeHeight="251662336" behindDoc="1" locked="0" layoutInCell="1" allowOverlap="1" wp14:anchorId="1ED7271E" wp14:editId="3F047042">
                <wp:simplePos x="0" y="0"/>
                <wp:positionH relativeFrom="column">
                  <wp:posOffset>-720090</wp:posOffset>
                </wp:positionH>
                <wp:positionV relativeFrom="paragraph">
                  <wp:posOffset>-899795</wp:posOffset>
                </wp:positionV>
                <wp:extent cx="7553951" cy="10685186"/>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7553951" cy="10685186"/>
                        </a:xfrm>
                        <a:prstGeom prst="rect">
                          <a:avLst/>
                        </a:prstGeom>
                      </pic:spPr>
                    </pic:pic>
                  </a:graphicData>
                </a:graphic>
                <wp14:sizeRelH relativeFrom="page">
                  <wp14:pctWidth>0</wp14:pctWidth>
                </wp14:sizeRelH>
                <wp14:sizeRelV relativeFrom="page">
                  <wp14:pctHeight>0</wp14:pctHeight>
                </wp14:sizeRelV>
              </wp:anchor>
            </w:drawing>
          </w:r>
        </w:p>
        <w:p w14:paraId="66F5AB8C" w14:textId="77777777" w:rsidR="0049308A" w:rsidRDefault="00F60B8E" w:rsidP="0051656D">
          <w:pPr>
            <w:pStyle w:val="Executivesummary"/>
          </w:pPr>
          <w:r>
            <w:rPr>
              <w:noProof/>
              <w:lang w:val="en-GB" w:eastAsia="en-GB"/>
            </w:rPr>
            <mc:AlternateContent>
              <mc:Choice Requires="wps">
                <w:drawing>
                  <wp:anchor distT="0" distB="0" distL="114300" distR="114300" simplePos="0" relativeHeight="251664384" behindDoc="0" locked="0" layoutInCell="1" allowOverlap="1" wp14:anchorId="28535CF5" wp14:editId="0088DFA9">
                    <wp:simplePos x="0" y="0"/>
                    <wp:positionH relativeFrom="page">
                      <wp:posOffset>3785191</wp:posOffset>
                    </wp:positionH>
                    <wp:positionV relativeFrom="page">
                      <wp:posOffset>5465135</wp:posOffset>
                    </wp:positionV>
                    <wp:extent cx="3752864" cy="2892056"/>
                    <wp:effectExtent l="0" t="0" r="0" b="3810"/>
                    <wp:wrapNone/>
                    <wp:docPr id="2" name="Casella di testo 1" title="Titolo e sottotitolo"/>
                    <wp:cNvGraphicFramePr/>
                    <a:graphic xmlns:a="http://schemas.openxmlformats.org/drawingml/2006/main">
                      <a:graphicData uri="http://schemas.microsoft.com/office/word/2010/wordprocessingShape">
                        <wps:wsp>
                          <wps:cNvSpPr txBox="1"/>
                          <wps:spPr>
                            <a:xfrm>
                              <a:off x="0" y="0"/>
                              <a:ext cx="3752864" cy="2892056"/>
                            </a:xfrm>
                            <a:prstGeom prst="rect">
                              <a:avLst/>
                            </a:prstGeom>
                            <a:noFill/>
                            <a:ln w="6350">
                              <a:noFill/>
                            </a:ln>
                          </wps:spPr>
                          <wps:txbx>
                            <w:txbxContent>
                              <w:p w14:paraId="1CAC8023" w14:textId="3D90016A" w:rsidR="00D2293F" w:rsidRPr="00E72FA1" w:rsidRDefault="004C3081" w:rsidP="00820612">
                                <w:pPr>
                                  <w:pStyle w:val="CoverTitle"/>
                                  <w:rPr>
                                    <w:b w:val="0"/>
                                    <w:sz w:val="34"/>
                                  </w:rPr>
                                </w:pPr>
                                <w:r>
                                  <w:rPr>
                                    <w:b w:val="0"/>
                                    <w:sz w:val="34"/>
                                  </w:rPr>
                                  <w:t>19</w:t>
                                </w:r>
                                <w:r w:rsidR="00D2293F" w:rsidRPr="00E72FA1">
                                  <w:rPr>
                                    <w:b w:val="0"/>
                                    <w:sz w:val="34"/>
                                  </w:rPr>
                                  <w:t xml:space="preserve"> </w:t>
                                </w:r>
                                <w:r w:rsidR="00475D12">
                                  <w:rPr>
                                    <w:b w:val="0"/>
                                    <w:sz w:val="34"/>
                                  </w:rPr>
                                  <w:t>December</w:t>
                                </w:r>
                                <w:r w:rsidR="00D2293F" w:rsidRPr="00E72FA1">
                                  <w:rPr>
                                    <w:b w:val="0"/>
                                    <w:sz w:val="34"/>
                                  </w:rPr>
                                  <w:t xml:space="preserve"> </w:t>
                                </w:r>
                                <w:r w:rsidR="00C94417">
                                  <w:rPr>
                                    <w:b w:val="0"/>
                                    <w:sz w:val="34"/>
                                  </w:rPr>
                                  <w:t>2022</w:t>
                                </w:r>
                              </w:p>
                              <w:p w14:paraId="20BC81EE" w14:textId="342BE84D" w:rsidR="00F60B8E" w:rsidRPr="008047EF" w:rsidRDefault="00624FAA" w:rsidP="0051656D">
                                <w:pPr>
                                  <w:pStyle w:val="CoverTitle"/>
                                  <w:rPr>
                                    <w:sz w:val="44"/>
                                    <w:szCs w:val="44"/>
                                  </w:rPr>
                                </w:pPr>
                                <w:bookmarkStart w:id="0" w:name="_GoBack"/>
                                <w:r w:rsidRPr="008047EF">
                                  <w:rPr>
                                    <w:sz w:val="44"/>
                                    <w:szCs w:val="44"/>
                                  </w:rPr>
                                  <w:t xml:space="preserve">Opinion </w:t>
                                </w:r>
                                <w:r w:rsidR="004C3081" w:rsidRPr="008047EF">
                                  <w:rPr>
                                    <w:sz w:val="44"/>
                                    <w:szCs w:val="44"/>
                                  </w:rPr>
                                  <w:t>27</w:t>
                                </w:r>
                                <w:r w:rsidR="006E00D8" w:rsidRPr="008047EF">
                                  <w:rPr>
                                    <w:sz w:val="44"/>
                                    <w:szCs w:val="44"/>
                                  </w:rPr>
                                  <w:t>/20</w:t>
                                </w:r>
                                <w:r w:rsidR="00C94417" w:rsidRPr="008047EF">
                                  <w:rPr>
                                    <w:sz w:val="44"/>
                                    <w:szCs w:val="44"/>
                                  </w:rPr>
                                  <w:t>22</w:t>
                                </w:r>
                              </w:p>
                              <w:p w14:paraId="7AD13850" w14:textId="77777777" w:rsidR="00F60B8E" w:rsidRPr="008047EF" w:rsidRDefault="00267160" w:rsidP="00F60B8E">
                                <w:pPr>
                                  <w:pStyle w:val="CoverSubtitle"/>
                                  <w:rPr>
                                    <w:rFonts w:asciiTheme="minorHAnsi" w:hAnsiTheme="minorHAnsi" w:cstheme="minorHAnsi"/>
                                    <w:sz w:val="40"/>
                                    <w:szCs w:val="40"/>
                                    <w:lang w:val="en-GB"/>
                                  </w:rPr>
                                </w:pPr>
                                <w:r w:rsidRPr="008047EF">
                                  <w:rPr>
                                    <w:rFonts w:asciiTheme="minorHAnsi" w:hAnsiTheme="minorHAnsi" w:cstheme="minorHAnsi"/>
                                    <w:sz w:val="40"/>
                                    <w:szCs w:val="40"/>
                                    <w:lang w:val="en-GB"/>
                                  </w:rPr>
                                  <w:t xml:space="preserve">on the </w:t>
                                </w:r>
                                <w:r w:rsidR="00475D12" w:rsidRPr="008047EF">
                                  <w:rPr>
                                    <w:rFonts w:asciiTheme="minorHAnsi" w:hAnsiTheme="minorHAnsi" w:cstheme="minorHAnsi"/>
                                    <w:sz w:val="40"/>
                                    <w:szCs w:val="40"/>
                                    <w:lang w:val="en-GB"/>
                                  </w:rPr>
                                  <w:t>Proposal for a Regulation amending Regulations (EU) No 260/2012 and (EU) 2021/1230 as regards instant credit transfers in euro</w:t>
                                </w:r>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8535CF5" id="_x0000_t202" coordsize="21600,21600" o:spt="202" path="m,l,21600r21600,l21600,xe">
                    <v:stroke joinstyle="miter"/>
                    <v:path gradientshapeok="t" o:connecttype="rect"/>
                  </v:shapetype>
                  <v:shape id="Casella di testo 1" o:spid="_x0000_s1026" type="#_x0000_t202" alt="Title: Titolo e sottotitolo" style="position:absolute;margin-left:298.05pt;margin-top:430.35pt;width:295.5pt;height:227.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" filled="f" stroked="f" strokeweight=".5pt">
                    <v:textbox inset="0,0,0,0">
                      <w:txbxContent>
                        <w:p w14:paraId="1CAC8023" w14:textId="3D90016A" w:rsidR="00D2293F" w:rsidRPr="00E72FA1" w:rsidRDefault="004C3081" w:rsidP="00820612">
                          <w:pPr>
                            <w:pStyle w:val="CoverTitle"/>
                            <w:rPr>
                              <w:b w:val="0"/>
                              <w:sz w:val="34"/>
                            </w:rPr>
                          </w:pPr>
                          <w:r>
                            <w:rPr>
                              <w:b w:val="0"/>
                              <w:sz w:val="34"/>
                            </w:rPr>
                            <w:t>19</w:t>
                          </w:r>
                          <w:r w:rsidR="00D2293F" w:rsidRPr="00E72FA1">
                            <w:rPr>
                              <w:b w:val="0"/>
                              <w:sz w:val="34"/>
                            </w:rPr>
                            <w:t xml:space="preserve"> </w:t>
                          </w:r>
                          <w:r w:rsidR="00475D12">
                            <w:rPr>
                              <w:b w:val="0"/>
                              <w:sz w:val="34"/>
                            </w:rPr>
                            <w:t>December</w:t>
                          </w:r>
                          <w:r w:rsidR="00D2293F" w:rsidRPr="00E72FA1">
                            <w:rPr>
                              <w:b w:val="0"/>
                              <w:sz w:val="34"/>
                            </w:rPr>
                            <w:t xml:space="preserve"> </w:t>
                          </w:r>
                          <w:r w:rsidR="00C94417">
                            <w:rPr>
                              <w:b w:val="0"/>
                              <w:sz w:val="34"/>
                            </w:rPr>
                            <w:t>2022</w:t>
                          </w:r>
                        </w:p>
                        <w:p w14:paraId="20BC81EE" w14:textId="342BE84D" w:rsidR="00F60B8E" w:rsidRPr="008047EF" w:rsidRDefault="00624FAA" w:rsidP="0051656D">
                          <w:pPr>
                            <w:pStyle w:val="CoverTitle"/>
                            <w:rPr>
                              <w:sz w:val="44"/>
                              <w:szCs w:val="44"/>
                            </w:rPr>
                          </w:pPr>
                          <w:r w:rsidRPr="008047EF">
                            <w:rPr>
                              <w:sz w:val="44"/>
                              <w:szCs w:val="44"/>
                            </w:rPr>
                            <w:t xml:space="preserve">Opinion </w:t>
                          </w:r>
                          <w:r w:rsidR="004C3081" w:rsidRPr="008047EF">
                            <w:rPr>
                              <w:sz w:val="44"/>
                              <w:szCs w:val="44"/>
                            </w:rPr>
                            <w:t>27</w:t>
                          </w:r>
                          <w:r w:rsidR="006E00D8" w:rsidRPr="008047EF">
                            <w:rPr>
                              <w:sz w:val="44"/>
                              <w:szCs w:val="44"/>
                            </w:rPr>
                            <w:t>/20</w:t>
                          </w:r>
                          <w:r w:rsidR="00C94417" w:rsidRPr="008047EF">
                            <w:rPr>
                              <w:sz w:val="44"/>
                              <w:szCs w:val="44"/>
                            </w:rPr>
                            <w:t>22</w:t>
                          </w:r>
                        </w:p>
                        <w:p w14:paraId="7AD13850" w14:textId="77777777" w:rsidR="00F60B8E" w:rsidRPr="008047EF" w:rsidRDefault="00267160" w:rsidP="00F60B8E">
                          <w:pPr>
                            <w:pStyle w:val="CoverSubtitle"/>
                            <w:rPr>
                              <w:rFonts w:asciiTheme="minorHAnsi" w:hAnsiTheme="minorHAnsi" w:cstheme="minorHAnsi"/>
                              <w:sz w:val="40"/>
                              <w:szCs w:val="40"/>
                              <w:lang w:val="en-GB"/>
                            </w:rPr>
                          </w:pPr>
                          <w:proofErr w:type="gramStart"/>
                          <w:r w:rsidRPr="008047EF">
                            <w:rPr>
                              <w:rFonts w:asciiTheme="minorHAnsi" w:hAnsiTheme="minorHAnsi" w:cstheme="minorHAnsi"/>
                              <w:sz w:val="40"/>
                              <w:szCs w:val="40"/>
                              <w:lang w:val="en-GB"/>
                            </w:rPr>
                            <w:t>on</w:t>
                          </w:r>
                          <w:proofErr w:type="gramEnd"/>
                          <w:r w:rsidRPr="008047EF">
                            <w:rPr>
                              <w:rFonts w:asciiTheme="minorHAnsi" w:hAnsiTheme="minorHAnsi" w:cstheme="minorHAnsi"/>
                              <w:sz w:val="40"/>
                              <w:szCs w:val="40"/>
                              <w:lang w:val="en-GB"/>
                            </w:rPr>
                            <w:t xml:space="preserve"> the </w:t>
                          </w:r>
                          <w:r w:rsidR="00475D12" w:rsidRPr="008047EF">
                            <w:rPr>
                              <w:rFonts w:asciiTheme="minorHAnsi" w:hAnsiTheme="minorHAnsi" w:cstheme="minorHAnsi"/>
                              <w:sz w:val="40"/>
                              <w:szCs w:val="40"/>
                              <w:lang w:val="en-GB"/>
                            </w:rPr>
                            <w:t>Proposal for a Regulation amending Regulations (EU) No 260/2012 and (EU) 2021/1230 as regards instant credit transfers in euro</w:t>
                          </w:r>
                        </w:p>
                      </w:txbxContent>
                    </v:textbox>
                    <w10:wrap anchorx="page" anchory="page"/>
                  </v:shape>
                </w:pict>
              </mc:Fallback>
            </mc:AlternateContent>
          </w:r>
          <w:r w:rsidR="00A42B52">
            <w:br w:type="page"/>
          </w:r>
        </w:p>
      </w:sdtContent>
    </w:sdt>
    <w:p w14:paraId="79C2FEB6" w14:textId="77777777" w:rsidR="004E3E56" w:rsidRDefault="004E3E56" w:rsidP="004E3E56">
      <w:pPr>
        <w:spacing w:before="0" w:after="160" w:line="259" w:lineRule="auto"/>
        <w:jc w:val="both"/>
        <w:rPr>
          <w:i/>
        </w:rPr>
      </w:pPr>
      <w:r w:rsidRPr="004E3E56">
        <w:rPr>
          <w:i/>
        </w:rPr>
        <w:lastRenderedPageBreak/>
        <w:t xml:space="preserve">The European Data Protection Supervisor (EDPS) is an independent institution of the EU, responsible under Article 52(2) of Regulation 2018/1725 ‘With respect to the processing of personal data… for ensuring that the fundamental rights and freedoms of natural persons, and in particular their right to data protection, are respected by Union institutions and bodies’, and under Article 52(3)‘…for advising Union institutions and bodies and data subjects on all matters concerning the processing of personal data’. </w:t>
      </w:r>
    </w:p>
    <w:p w14:paraId="48B278B0" w14:textId="77777777" w:rsidR="004E3E56" w:rsidRPr="004E3E56" w:rsidRDefault="004E3E56" w:rsidP="004E3E56">
      <w:pPr>
        <w:spacing w:before="0" w:after="160" w:line="259" w:lineRule="auto"/>
        <w:jc w:val="both"/>
        <w:rPr>
          <w:i/>
          <w:lang w:val="en-GB"/>
        </w:rPr>
      </w:pPr>
      <w:r w:rsidRPr="004E3E56">
        <w:rPr>
          <w:i/>
          <w:iCs/>
          <w:lang w:val="en-GB"/>
        </w:rPr>
        <w:t>Wojciech</w:t>
      </w:r>
      <w:r w:rsidR="00267160" w:rsidRPr="00267160">
        <w:rPr>
          <w:lang w:val="en-GB"/>
        </w:rPr>
        <w:t xml:space="preserve"> </w:t>
      </w:r>
      <w:r w:rsidR="00267160" w:rsidRPr="00267160">
        <w:rPr>
          <w:i/>
          <w:iCs/>
          <w:lang w:val="en-GB"/>
        </w:rPr>
        <w:t>Rafał</w:t>
      </w:r>
      <w:r w:rsidR="00DC7903">
        <w:rPr>
          <w:i/>
          <w:iCs/>
          <w:lang w:val="en-GB"/>
        </w:rPr>
        <w:t xml:space="preserve"> Wiewi</w:t>
      </w:r>
      <w:r w:rsidR="00DC7903" w:rsidRPr="004E3E56">
        <w:rPr>
          <w:i/>
          <w:iCs/>
          <w:lang w:val="en-GB"/>
        </w:rPr>
        <w:t>ó</w:t>
      </w:r>
      <w:r w:rsidR="00DC7903">
        <w:rPr>
          <w:i/>
          <w:iCs/>
          <w:lang w:val="en-GB"/>
        </w:rPr>
        <w:t>ro</w:t>
      </w:r>
      <w:r w:rsidRPr="004E3E56">
        <w:rPr>
          <w:i/>
          <w:iCs/>
          <w:lang w:val="en-GB"/>
        </w:rPr>
        <w:t>wski was appointed as Supervisor on 5 December 2019 for a term of five years.</w:t>
      </w:r>
    </w:p>
    <w:p w14:paraId="01CCD96C" w14:textId="77777777" w:rsidR="004E3E56" w:rsidRDefault="004E3E56" w:rsidP="004E3E56">
      <w:pPr>
        <w:spacing w:before="0" w:after="160" w:line="259" w:lineRule="auto"/>
        <w:jc w:val="both"/>
        <w:rPr>
          <w:i/>
        </w:rPr>
      </w:pPr>
      <w:r w:rsidRPr="004E3E56">
        <w:rPr>
          <w:i/>
        </w:rPr>
        <w:t xml:space="preserve">Under </w:t>
      </w:r>
      <w:r w:rsidR="00AB1F1C">
        <w:rPr>
          <w:b/>
          <w:i/>
        </w:rPr>
        <w:t>A</w:t>
      </w:r>
      <w:r w:rsidRPr="004E3E56">
        <w:rPr>
          <w:b/>
          <w:i/>
        </w:rPr>
        <w:t>rticle 42(1)</w:t>
      </w:r>
      <w:r w:rsidRPr="004E3E56">
        <w:rPr>
          <w:i/>
        </w:rPr>
        <w:t xml:space="preserve"> of Regulation 2018/1725, the Commission shall ‘following the adoption of proposals for a legislative act, of recommendations or of proposals to the Council pursuant to Article 218 TFEU or when preparing delegated acts or implementing acts, consult the EDPS where there is an impact on the protection of individuals’ rights and freedoms with regard to the processing of personal data’. </w:t>
      </w:r>
    </w:p>
    <w:p w14:paraId="2ABDC3C6" w14:textId="77777777" w:rsidR="00DC45CA" w:rsidRDefault="00DC45CA" w:rsidP="00DC45CA">
      <w:pPr>
        <w:spacing w:before="0" w:after="160" w:line="259" w:lineRule="auto"/>
        <w:jc w:val="both"/>
        <w:rPr>
          <w:i/>
        </w:rPr>
      </w:pPr>
      <w:r w:rsidRPr="00B76212">
        <w:rPr>
          <w:i/>
        </w:rPr>
        <w:t>This Opinion relates to</w:t>
      </w:r>
      <w:r w:rsidR="009A3992" w:rsidRPr="00B76212">
        <w:rPr>
          <w:i/>
        </w:rPr>
        <w:t xml:space="preserve"> [insert</w:t>
      </w:r>
      <w:r w:rsidR="001B2CA7" w:rsidRPr="00B76212">
        <w:rPr>
          <w:i/>
        </w:rPr>
        <w:t xml:space="preserve"> full name of the </w:t>
      </w:r>
      <w:r w:rsidR="00633C65">
        <w:rPr>
          <w:i/>
        </w:rPr>
        <w:t xml:space="preserve">legislative </w:t>
      </w:r>
      <w:r w:rsidR="001B2CA7" w:rsidRPr="00B76212">
        <w:rPr>
          <w:i/>
        </w:rPr>
        <w:t>Proposal</w:t>
      </w:r>
      <w:r w:rsidR="001B2CA7">
        <w:rPr>
          <w:i/>
        </w:rPr>
        <w:t xml:space="preserve"> or Recommendation or Proposal to the Council Pursuant to Article 218 TFEU</w:t>
      </w:r>
      <w:r w:rsidR="009A3992" w:rsidRPr="00B76212">
        <w:rPr>
          <w:i/>
        </w:rPr>
        <w:t>]</w:t>
      </w:r>
      <w:r w:rsidR="009A3992">
        <w:rPr>
          <w:i/>
        </w:rPr>
        <w:t>.</w:t>
      </w:r>
      <w:r w:rsidRPr="00455CC5">
        <w:rPr>
          <w:i/>
        </w:rPr>
        <w:t>This Opinion does not preclude any future additional comments or recommendations by the EDPS, in particular if further issues are identified or new information becomes available. Furthermore, this Opinion is without prejudice to any future action that may be taken by the EDPS in the exercise of his powers pursuant to Regulation (EU) 2018/1725.</w:t>
      </w:r>
      <w:r w:rsidRPr="004E3E56">
        <w:rPr>
          <w:i/>
        </w:rPr>
        <w:t xml:space="preserve"> </w:t>
      </w:r>
      <w:r w:rsidR="00BF4F81">
        <w:rPr>
          <w:i/>
        </w:rPr>
        <w:t>This Opinion is</w:t>
      </w:r>
      <w:r w:rsidR="00BF4F81" w:rsidRPr="00BF4F81">
        <w:rPr>
          <w:i/>
        </w:rPr>
        <w:t xml:space="preserve"> limited to the provisions of the draft Proposal that are relevant from a data protection perspective.</w:t>
      </w:r>
    </w:p>
    <w:p w14:paraId="4D0C5DF8" w14:textId="77777777" w:rsidR="004E3E56" w:rsidRPr="00455CC5" w:rsidRDefault="004E3E56" w:rsidP="004E3E56">
      <w:pPr>
        <w:spacing w:before="0" w:after="160" w:line="259" w:lineRule="auto"/>
        <w:jc w:val="both"/>
        <w:rPr>
          <w:i/>
        </w:rPr>
      </w:pPr>
      <w:r w:rsidRPr="004E3E56">
        <w:rPr>
          <w:b/>
          <w:i/>
        </w:rPr>
        <w:br w:type="page"/>
      </w:r>
    </w:p>
    <w:p w14:paraId="6E7DD82B" w14:textId="77777777" w:rsidR="00F60B8E" w:rsidRPr="007006BD" w:rsidRDefault="004E3E56" w:rsidP="00CD7550">
      <w:pPr>
        <w:pStyle w:val="Box"/>
        <w:pBdr>
          <w:bottom w:val="thickThinMediumGap" w:sz="24" w:space="31" w:color="768AA6" w:themeColor="text2" w:themeTint="99"/>
        </w:pBdr>
        <w:rPr>
          <w:b/>
        </w:rPr>
      </w:pPr>
      <w:r>
        <w:rPr>
          <w:b/>
        </w:rPr>
        <w:lastRenderedPageBreak/>
        <w:t>E</w:t>
      </w:r>
      <w:r w:rsidR="00F60B8E" w:rsidRPr="007006BD">
        <w:rPr>
          <w:b/>
        </w:rPr>
        <w:t>xecutive Summary</w:t>
      </w:r>
    </w:p>
    <w:p w14:paraId="2E9D8BDA" w14:textId="208267B6" w:rsidR="002B18CF" w:rsidRDefault="002B18CF" w:rsidP="00CC0C63">
      <w:pPr>
        <w:pStyle w:val="Box"/>
        <w:pBdr>
          <w:bottom w:val="thickThinMediumGap" w:sz="24" w:space="31" w:color="768AA6" w:themeColor="text2" w:themeTint="99"/>
        </w:pBdr>
        <w:jc w:val="both"/>
      </w:pPr>
      <w:r>
        <w:t>On 26 October 2022 the European Commission issued a Proposal for a Regulation of the European Parliament and of the Council amending Regulations (EU) No 260/2012 and (EU) 2021/1230 as regards instant credit transfers in euro.</w:t>
      </w:r>
    </w:p>
    <w:p w14:paraId="3C81D628" w14:textId="02FFF398" w:rsidR="00241CB3" w:rsidRPr="0003114A" w:rsidRDefault="002B18CF" w:rsidP="00CC0C63">
      <w:pPr>
        <w:pStyle w:val="Box"/>
        <w:pBdr>
          <w:bottom w:val="thickThinMediumGap" w:sz="24" w:space="31" w:color="768AA6" w:themeColor="text2" w:themeTint="99"/>
        </w:pBdr>
        <w:jc w:val="both"/>
      </w:pPr>
      <w:r>
        <w:t xml:space="preserve">The objective of the Proposal is to improve the low uptake of euro instant credit transfers to allow for their benefits to realise, including efficiency gains for consumers, merchants, corporate users, payment service providers and financial technology companies, and public administrations including tax authorities. A second objective is to extend the means of payment at points of </w:t>
      </w:r>
      <w:r w:rsidRPr="0003114A">
        <w:t xml:space="preserve">interaction, particularly for cross-border transactions. </w:t>
      </w:r>
      <w:r w:rsidR="0003114A" w:rsidRPr="0003114A">
        <w:rPr>
          <w:rFonts w:eastAsia="Arial Unicode MS"/>
          <w:noProof/>
        </w:rPr>
        <w:t xml:space="preserve">At the end of 2021, only </w:t>
      </w:r>
      <w:r w:rsidR="0003114A" w:rsidRPr="00367828">
        <w:rPr>
          <w:rFonts w:eastAsia="Arial Unicode MS"/>
          <w:noProof/>
        </w:rPr>
        <w:t>11% of euro credit transfers sent in the EU were instant payments</w:t>
      </w:r>
      <w:r w:rsidR="0003114A" w:rsidRPr="0003114A">
        <w:rPr>
          <w:rFonts w:eastAsia="Arial Unicode MS"/>
          <w:noProof/>
        </w:rPr>
        <w:t xml:space="preserve">, although the architecture for instant payments in euro already exists, </w:t>
      </w:r>
      <w:r w:rsidR="0003114A" w:rsidRPr="0003114A">
        <w:rPr>
          <w:rFonts w:eastAsia="Arial Unicode MS"/>
          <w:i/>
          <w:noProof/>
        </w:rPr>
        <w:t xml:space="preserve">inter alia </w:t>
      </w:r>
      <w:r w:rsidR="0003114A" w:rsidRPr="0003114A">
        <w:rPr>
          <w:rFonts w:eastAsia="Arial Unicode MS"/>
          <w:noProof/>
        </w:rPr>
        <w:t xml:space="preserve">with the </w:t>
      </w:r>
      <w:r w:rsidR="0003114A" w:rsidRPr="00367828">
        <w:rPr>
          <w:rFonts w:eastAsia="Calibri"/>
          <w:noProof/>
          <w:szCs w:val="24"/>
        </w:rPr>
        <w:t>Single Euro Payments Area</w:t>
      </w:r>
      <w:r w:rsidR="0003114A" w:rsidRPr="00367828">
        <w:rPr>
          <w:rFonts w:eastAsia="Arial Unicode MS"/>
          <w:noProof/>
        </w:rPr>
        <w:t xml:space="preserve"> (SEPA) instant credit transfer scheme</w:t>
      </w:r>
      <w:r w:rsidR="00CD44EA">
        <w:rPr>
          <w:rFonts w:eastAsia="Arial Unicode MS"/>
          <w:noProof/>
        </w:rPr>
        <w:t xml:space="preserve"> of 2017</w:t>
      </w:r>
      <w:r w:rsidR="0003114A" w:rsidRPr="0003114A">
        <w:rPr>
          <w:rFonts w:eastAsia="Arial Unicode MS"/>
          <w:noProof/>
        </w:rPr>
        <w:t>.</w:t>
      </w:r>
    </w:p>
    <w:p w14:paraId="6CDAEB18" w14:textId="4AD555B5" w:rsidR="000C7CFA" w:rsidRDefault="00241CB3" w:rsidP="00CC0C63">
      <w:pPr>
        <w:pStyle w:val="Box"/>
        <w:pBdr>
          <w:bottom w:val="thickThinMediumGap" w:sz="24" w:space="31" w:color="768AA6" w:themeColor="text2" w:themeTint="99"/>
        </w:pBdr>
        <w:jc w:val="both"/>
      </w:pPr>
      <w:r>
        <w:rPr>
          <w:szCs w:val="24"/>
        </w:rPr>
        <w:t xml:space="preserve">From the problems addressed by the Proposal, two are of particular relevance to data protection: To address concerns by payers about the security of instant payments, the Proposal </w:t>
      </w:r>
      <w:r>
        <w:t xml:space="preserve">would </w:t>
      </w:r>
      <w:r w:rsidRPr="00CD7550">
        <w:t>oblige payment service providers to verify whether the payment account identifier and the name of the payee provided by the payer match</w:t>
      </w:r>
      <w:r>
        <w:t>, prior to authorization of the payment by the payer</w:t>
      </w:r>
      <w:r w:rsidRPr="00CD7550">
        <w:t>. Where they do not match, th</w:t>
      </w:r>
      <w:r w:rsidR="0003114A">
        <w:t>e</w:t>
      </w:r>
      <w:r w:rsidRPr="00CD7550">
        <w:t xml:space="preserve"> payment service provider shall notify the payer of any discrepancies detected and the degree of any such discrepancy. </w:t>
      </w:r>
      <w:r w:rsidR="00852E3A" w:rsidRPr="00852E3A">
        <w:t>The EDPS welcomes th</w:t>
      </w:r>
      <w:r w:rsidR="00CD7550">
        <w:t xml:space="preserve">e </w:t>
      </w:r>
      <w:r w:rsidR="006067AC">
        <w:t xml:space="preserve">Proposal and </w:t>
      </w:r>
      <w:r w:rsidR="00FF6617">
        <w:t xml:space="preserve">in particular </w:t>
      </w:r>
      <w:r w:rsidR="006067AC">
        <w:t xml:space="preserve">the </w:t>
      </w:r>
      <w:r w:rsidR="00CD7550">
        <w:t xml:space="preserve">proposed </w:t>
      </w:r>
      <w:r w:rsidR="0003114A">
        <w:t>matching that would give payers the chance to compare their data with the response from the system and make informed decisions whether it is safe to authorise the payment. Where this security feature is not needed, the Proposal gives payers the possibility to opt-out, thus leading to less processing of personal data.</w:t>
      </w:r>
      <w:r w:rsidR="00CD7550" w:rsidRPr="00CD7550">
        <w:t xml:space="preserve"> </w:t>
      </w:r>
    </w:p>
    <w:p w14:paraId="2579F321" w14:textId="3155434C" w:rsidR="00CD74A8" w:rsidRPr="00367828" w:rsidRDefault="0003114A" w:rsidP="00CC0C63">
      <w:pPr>
        <w:pStyle w:val="Box"/>
        <w:pBdr>
          <w:bottom w:val="thickThinMediumGap" w:sz="24" w:space="31" w:color="768AA6" w:themeColor="text2" w:themeTint="99"/>
        </w:pBdr>
        <w:jc w:val="both"/>
        <w:rPr>
          <w:szCs w:val="24"/>
        </w:rPr>
      </w:pPr>
      <w:r>
        <w:rPr>
          <w:szCs w:val="24"/>
        </w:rPr>
        <w:t xml:space="preserve">Under the current legislation, a high rate of rejected instant payments is caused by wrongly identifying persons who are involved in the instant credit transfer as persons on EU sanctions lists. The Proposal provides for a requirement for sanctions screening in the form of very frequent checking of clients against EU sanctions lists, rather than for each individual transaction, to avoid the false positives. </w:t>
      </w:r>
      <w:r w:rsidR="000C7CFA">
        <w:t>The EDPS</w:t>
      </w:r>
      <w:r w:rsidR="00CD7550" w:rsidRPr="00CD7550">
        <w:t xml:space="preserve"> </w:t>
      </w:r>
      <w:r w:rsidR="000C7CFA">
        <w:t>w</w:t>
      </w:r>
      <w:r w:rsidR="00CD74A8">
        <w:t xml:space="preserve">elcomes that the Proposal would </w:t>
      </w:r>
      <w:r>
        <w:t xml:space="preserve">direct </w:t>
      </w:r>
      <w:r w:rsidR="00CD74A8">
        <w:t xml:space="preserve">the practice to </w:t>
      </w:r>
      <w:r>
        <w:t xml:space="preserve">a </w:t>
      </w:r>
      <w:r w:rsidR="00CD44EA" w:rsidRPr="00367828">
        <w:rPr>
          <w:szCs w:val="24"/>
        </w:rPr>
        <w:t xml:space="preserve">periodic </w:t>
      </w:r>
      <w:r w:rsidRPr="00367828">
        <w:rPr>
          <w:szCs w:val="24"/>
        </w:rPr>
        <w:t>verification method that can be executed with the necessary diligence</w:t>
      </w:r>
      <w:r w:rsidR="00CD44EA" w:rsidRPr="00367828">
        <w:rPr>
          <w:szCs w:val="24"/>
        </w:rPr>
        <w:t xml:space="preserve">, so that false positives can be avoided and data subjects do not experience </w:t>
      </w:r>
      <w:r w:rsidR="00CD74A8" w:rsidRPr="00367828">
        <w:rPr>
          <w:szCs w:val="24"/>
        </w:rPr>
        <w:t>unwarranted payment refusals.</w:t>
      </w:r>
    </w:p>
    <w:p w14:paraId="5270F2C2" w14:textId="2F039400" w:rsidR="008C01BD" w:rsidRPr="00367828" w:rsidRDefault="00CD74A8" w:rsidP="00CC0C63">
      <w:pPr>
        <w:pStyle w:val="Box"/>
        <w:pBdr>
          <w:bottom w:val="thickThinMediumGap" w:sz="24" w:space="31" w:color="768AA6" w:themeColor="text2" w:themeTint="99"/>
        </w:pBdr>
        <w:jc w:val="both"/>
        <w:rPr>
          <w:szCs w:val="24"/>
        </w:rPr>
      </w:pPr>
      <w:r w:rsidRPr="00367828">
        <w:rPr>
          <w:szCs w:val="24"/>
        </w:rPr>
        <w:t xml:space="preserve">The EDPS does not have any </w:t>
      </w:r>
      <w:r w:rsidR="00FF6617" w:rsidRPr="00367828">
        <w:rPr>
          <w:szCs w:val="24"/>
        </w:rPr>
        <w:t xml:space="preserve">observations </w:t>
      </w:r>
      <w:r w:rsidRPr="00367828">
        <w:rPr>
          <w:szCs w:val="24"/>
        </w:rPr>
        <w:t xml:space="preserve">relating to the remaining provisions of the Proposal. </w:t>
      </w:r>
    </w:p>
    <w:p w14:paraId="521DD80A" w14:textId="77777777" w:rsidR="00CD7550" w:rsidRPr="00CD7550" w:rsidRDefault="00CD7550" w:rsidP="00CD7550">
      <w:pPr>
        <w:rPr>
          <w:lang w:val="en-GB" w:eastAsia="fr-FR"/>
        </w:rPr>
      </w:pPr>
    </w:p>
    <w:p w14:paraId="5DF5D01F" w14:textId="77777777" w:rsidR="00CD7550" w:rsidRDefault="00CD7550" w:rsidP="00CD7550">
      <w:pPr>
        <w:rPr>
          <w:lang w:val="en-GB" w:eastAsia="fr-FR"/>
        </w:rPr>
      </w:pPr>
    </w:p>
    <w:p w14:paraId="3A3E22F5" w14:textId="77777777" w:rsidR="00CD7550" w:rsidRPr="00CD7550" w:rsidRDefault="00CD7550" w:rsidP="00CD7550">
      <w:pPr>
        <w:rPr>
          <w:lang w:val="en-GB" w:eastAsia="fr-FR"/>
        </w:rPr>
      </w:pPr>
    </w:p>
    <w:p w14:paraId="7CCFE7D8" w14:textId="77777777" w:rsidR="008C01BD" w:rsidRPr="008C01BD" w:rsidRDefault="008C01BD" w:rsidP="0051656D">
      <w:pPr>
        <w:rPr>
          <w:lang w:eastAsia="fr-FR"/>
        </w:rPr>
      </w:pPr>
    </w:p>
    <w:sdt>
      <w:sdtPr>
        <w:rPr>
          <w:rFonts w:eastAsiaTheme="minorHAnsi" w:cstheme="minorBidi"/>
          <w:b w:val="0"/>
          <w:color w:val="000000" w:themeColor="text1"/>
          <w:spacing w:val="0"/>
          <w:kern w:val="0"/>
          <w:sz w:val="24"/>
          <w:szCs w:val="22"/>
        </w:rPr>
        <w:id w:val="-598099486"/>
        <w:docPartObj>
          <w:docPartGallery w:val="Table of Contents"/>
          <w:docPartUnique/>
        </w:docPartObj>
      </w:sdtPr>
      <w:sdtEndPr>
        <w:rPr>
          <w:bCs/>
          <w:noProof/>
        </w:rPr>
      </w:sdtEndPr>
      <w:sdtContent>
        <w:p w14:paraId="175C5EB6" w14:textId="77777777" w:rsidR="00B76212" w:rsidRDefault="00B76212" w:rsidP="00B76212">
          <w:pPr>
            <w:pStyle w:val="TOCHeading"/>
          </w:pPr>
          <w:r>
            <w:t>Contents</w:t>
          </w:r>
        </w:p>
        <w:p w14:paraId="4DAA39E4" w14:textId="25419A6C" w:rsidR="00012A4E" w:rsidRDefault="00B76212">
          <w:pPr>
            <w:pStyle w:val="TOC1"/>
            <w:tabs>
              <w:tab w:val="right" w:leader="dot" w:pos="9628"/>
            </w:tabs>
            <w:rPr>
              <w:rFonts w:asciiTheme="minorHAnsi" w:eastAsiaTheme="minorEastAsia" w:hAnsiTheme="minorHAnsi" w:cstheme="minorBidi"/>
              <w:b w:val="0"/>
              <w:bCs w:val="0"/>
              <w:noProof/>
              <w:color w:val="auto"/>
              <w:sz w:val="22"/>
              <w:szCs w:val="22"/>
              <w:lang w:val="en-GB" w:eastAsia="en-GB"/>
              <w14:numForm w14:val="default"/>
            </w:rPr>
          </w:pPr>
          <w:r>
            <w:fldChar w:fldCharType="begin"/>
          </w:r>
          <w:r>
            <w:instrText xml:space="preserve"> TOC \o "1-3" \h \z \u </w:instrText>
          </w:r>
          <w:r>
            <w:fldChar w:fldCharType="separate"/>
          </w:r>
          <w:hyperlink w:anchor="_Toc122022127" w:history="1">
            <w:r w:rsidR="00012A4E" w:rsidRPr="008223F3">
              <w:rPr>
                <w:rStyle w:val="Hyperlink"/>
                <w:rFonts w:cstheme="minorHAnsi"/>
                <w:noProof/>
              </w:rPr>
              <w:t>1. Introduction</w:t>
            </w:r>
            <w:r w:rsidR="00012A4E">
              <w:rPr>
                <w:noProof/>
                <w:webHidden/>
              </w:rPr>
              <w:tab/>
            </w:r>
            <w:r w:rsidR="00012A4E">
              <w:rPr>
                <w:noProof/>
                <w:webHidden/>
              </w:rPr>
              <w:fldChar w:fldCharType="begin"/>
            </w:r>
            <w:r w:rsidR="00012A4E">
              <w:rPr>
                <w:noProof/>
                <w:webHidden/>
              </w:rPr>
              <w:instrText xml:space="preserve"> PAGEREF _Toc122022127 \h </w:instrText>
            </w:r>
            <w:r w:rsidR="00012A4E">
              <w:rPr>
                <w:noProof/>
                <w:webHidden/>
              </w:rPr>
            </w:r>
            <w:r w:rsidR="00012A4E">
              <w:rPr>
                <w:noProof/>
                <w:webHidden/>
              </w:rPr>
              <w:fldChar w:fldCharType="separate"/>
            </w:r>
            <w:r w:rsidR="00EC769B">
              <w:rPr>
                <w:noProof/>
                <w:webHidden/>
              </w:rPr>
              <w:t>4</w:t>
            </w:r>
            <w:r w:rsidR="00012A4E">
              <w:rPr>
                <w:noProof/>
                <w:webHidden/>
              </w:rPr>
              <w:fldChar w:fldCharType="end"/>
            </w:r>
          </w:hyperlink>
        </w:p>
        <w:p w14:paraId="167BCE80" w14:textId="55DE7F56" w:rsidR="00012A4E" w:rsidRDefault="00086823">
          <w:pPr>
            <w:pStyle w:val="TOC1"/>
            <w:tabs>
              <w:tab w:val="right" w:leader="dot" w:pos="9628"/>
            </w:tabs>
            <w:rPr>
              <w:rFonts w:asciiTheme="minorHAnsi" w:eastAsiaTheme="minorEastAsia" w:hAnsiTheme="minorHAnsi" w:cstheme="minorBidi"/>
              <w:b w:val="0"/>
              <w:bCs w:val="0"/>
              <w:noProof/>
              <w:color w:val="auto"/>
              <w:sz w:val="22"/>
              <w:szCs w:val="22"/>
              <w:lang w:val="en-GB" w:eastAsia="en-GB"/>
              <w14:numForm w14:val="default"/>
            </w:rPr>
          </w:pPr>
          <w:hyperlink w:anchor="_Toc122022128" w:history="1">
            <w:r w:rsidR="00012A4E" w:rsidRPr="008223F3">
              <w:rPr>
                <w:rStyle w:val="Hyperlink"/>
                <w:rFonts w:cstheme="minorHAnsi"/>
                <w:noProof/>
                <w:lang w:eastAsia="fr-FR"/>
              </w:rPr>
              <w:t>2. General remarks</w:t>
            </w:r>
            <w:r w:rsidR="00012A4E">
              <w:rPr>
                <w:noProof/>
                <w:webHidden/>
              </w:rPr>
              <w:tab/>
            </w:r>
            <w:r w:rsidR="00012A4E">
              <w:rPr>
                <w:noProof/>
                <w:webHidden/>
              </w:rPr>
              <w:fldChar w:fldCharType="begin"/>
            </w:r>
            <w:r w:rsidR="00012A4E">
              <w:rPr>
                <w:noProof/>
                <w:webHidden/>
              </w:rPr>
              <w:instrText xml:space="preserve"> PAGEREF _Toc122022128 \h </w:instrText>
            </w:r>
            <w:r w:rsidR="00012A4E">
              <w:rPr>
                <w:noProof/>
                <w:webHidden/>
              </w:rPr>
            </w:r>
            <w:r w:rsidR="00012A4E">
              <w:rPr>
                <w:noProof/>
                <w:webHidden/>
              </w:rPr>
              <w:fldChar w:fldCharType="separate"/>
            </w:r>
            <w:r w:rsidR="00EC769B">
              <w:rPr>
                <w:noProof/>
                <w:webHidden/>
              </w:rPr>
              <w:t>5</w:t>
            </w:r>
            <w:r w:rsidR="00012A4E">
              <w:rPr>
                <w:noProof/>
                <w:webHidden/>
              </w:rPr>
              <w:fldChar w:fldCharType="end"/>
            </w:r>
          </w:hyperlink>
        </w:p>
        <w:p w14:paraId="26ADC2D8" w14:textId="37F77FC4" w:rsidR="00012A4E" w:rsidRDefault="00086823">
          <w:pPr>
            <w:pStyle w:val="TOC1"/>
            <w:tabs>
              <w:tab w:val="right" w:leader="dot" w:pos="9628"/>
            </w:tabs>
            <w:rPr>
              <w:rFonts w:asciiTheme="minorHAnsi" w:eastAsiaTheme="minorEastAsia" w:hAnsiTheme="minorHAnsi" w:cstheme="minorBidi"/>
              <w:b w:val="0"/>
              <w:bCs w:val="0"/>
              <w:noProof/>
              <w:color w:val="auto"/>
              <w:sz w:val="22"/>
              <w:szCs w:val="22"/>
              <w:lang w:val="en-GB" w:eastAsia="en-GB"/>
              <w14:numForm w14:val="default"/>
            </w:rPr>
          </w:pPr>
          <w:hyperlink w:anchor="_Toc122022129" w:history="1">
            <w:r w:rsidR="00012A4E" w:rsidRPr="008223F3">
              <w:rPr>
                <w:rStyle w:val="Hyperlink"/>
                <w:noProof/>
              </w:rPr>
              <w:t>3. Verification of discrepancies between the name and payment account identifier of a payee in case of instant credit transfers</w:t>
            </w:r>
            <w:r w:rsidR="00012A4E">
              <w:rPr>
                <w:noProof/>
                <w:webHidden/>
              </w:rPr>
              <w:tab/>
            </w:r>
            <w:r w:rsidR="00012A4E">
              <w:rPr>
                <w:noProof/>
                <w:webHidden/>
              </w:rPr>
              <w:fldChar w:fldCharType="begin"/>
            </w:r>
            <w:r w:rsidR="00012A4E">
              <w:rPr>
                <w:noProof/>
                <w:webHidden/>
              </w:rPr>
              <w:instrText xml:space="preserve"> PAGEREF _Toc122022129 \h </w:instrText>
            </w:r>
            <w:r w:rsidR="00012A4E">
              <w:rPr>
                <w:noProof/>
                <w:webHidden/>
              </w:rPr>
            </w:r>
            <w:r w:rsidR="00012A4E">
              <w:rPr>
                <w:noProof/>
                <w:webHidden/>
              </w:rPr>
              <w:fldChar w:fldCharType="separate"/>
            </w:r>
            <w:r w:rsidR="00EC769B">
              <w:rPr>
                <w:noProof/>
                <w:webHidden/>
              </w:rPr>
              <w:t>5</w:t>
            </w:r>
            <w:r w:rsidR="00012A4E">
              <w:rPr>
                <w:noProof/>
                <w:webHidden/>
              </w:rPr>
              <w:fldChar w:fldCharType="end"/>
            </w:r>
          </w:hyperlink>
        </w:p>
        <w:p w14:paraId="731890BD" w14:textId="25B508EA" w:rsidR="00012A4E" w:rsidRDefault="00086823">
          <w:pPr>
            <w:pStyle w:val="TOC1"/>
            <w:tabs>
              <w:tab w:val="right" w:leader="dot" w:pos="9628"/>
            </w:tabs>
            <w:rPr>
              <w:rFonts w:asciiTheme="minorHAnsi" w:eastAsiaTheme="minorEastAsia" w:hAnsiTheme="minorHAnsi" w:cstheme="minorBidi"/>
              <w:b w:val="0"/>
              <w:bCs w:val="0"/>
              <w:noProof/>
              <w:color w:val="auto"/>
              <w:sz w:val="22"/>
              <w:szCs w:val="22"/>
              <w:lang w:val="en-GB" w:eastAsia="en-GB"/>
              <w14:numForm w14:val="default"/>
            </w:rPr>
          </w:pPr>
          <w:hyperlink w:anchor="_Toc122022130" w:history="1">
            <w:r w:rsidR="00012A4E" w:rsidRPr="008223F3">
              <w:rPr>
                <w:rStyle w:val="Hyperlink"/>
                <w:noProof/>
              </w:rPr>
              <w:t>4. Screening of payment services users with regard to Union sanctions in case of instant credit transfers</w:t>
            </w:r>
            <w:r w:rsidR="00012A4E">
              <w:rPr>
                <w:noProof/>
                <w:webHidden/>
              </w:rPr>
              <w:tab/>
            </w:r>
            <w:r w:rsidR="00012A4E">
              <w:rPr>
                <w:noProof/>
                <w:webHidden/>
              </w:rPr>
              <w:fldChar w:fldCharType="begin"/>
            </w:r>
            <w:r w:rsidR="00012A4E">
              <w:rPr>
                <w:noProof/>
                <w:webHidden/>
              </w:rPr>
              <w:instrText xml:space="preserve"> PAGEREF _Toc122022130 \h </w:instrText>
            </w:r>
            <w:r w:rsidR="00012A4E">
              <w:rPr>
                <w:noProof/>
                <w:webHidden/>
              </w:rPr>
            </w:r>
            <w:r w:rsidR="00012A4E">
              <w:rPr>
                <w:noProof/>
                <w:webHidden/>
              </w:rPr>
              <w:fldChar w:fldCharType="separate"/>
            </w:r>
            <w:r w:rsidR="00EC769B">
              <w:rPr>
                <w:noProof/>
                <w:webHidden/>
              </w:rPr>
              <w:t>6</w:t>
            </w:r>
            <w:r w:rsidR="00012A4E">
              <w:rPr>
                <w:noProof/>
                <w:webHidden/>
              </w:rPr>
              <w:fldChar w:fldCharType="end"/>
            </w:r>
          </w:hyperlink>
        </w:p>
        <w:p w14:paraId="10758C50" w14:textId="51EF656B" w:rsidR="00012A4E" w:rsidRDefault="00086823">
          <w:pPr>
            <w:pStyle w:val="TOC1"/>
            <w:tabs>
              <w:tab w:val="right" w:leader="dot" w:pos="9628"/>
            </w:tabs>
            <w:rPr>
              <w:rFonts w:asciiTheme="minorHAnsi" w:eastAsiaTheme="minorEastAsia" w:hAnsiTheme="minorHAnsi" w:cstheme="minorBidi"/>
              <w:b w:val="0"/>
              <w:bCs w:val="0"/>
              <w:noProof/>
              <w:color w:val="auto"/>
              <w:sz w:val="22"/>
              <w:szCs w:val="22"/>
              <w:lang w:val="en-GB" w:eastAsia="en-GB"/>
              <w14:numForm w14:val="default"/>
            </w:rPr>
          </w:pPr>
          <w:hyperlink w:anchor="_Toc122022131" w:history="1">
            <w:r w:rsidR="00012A4E" w:rsidRPr="008223F3">
              <w:rPr>
                <w:rStyle w:val="Hyperlink"/>
                <w:rFonts w:eastAsia="Times New Roman" w:cstheme="minorHAnsi"/>
                <w:noProof/>
                <w:lang w:eastAsia="fr-FR"/>
              </w:rPr>
              <w:t>5.</w:t>
            </w:r>
            <w:r w:rsidR="00012A4E" w:rsidRPr="008223F3">
              <w:rPr>
                <w:rStyle w:val="Hyperlink"/>
                <w:rFonts w:cstheme="minorHAnsi"/>
                <w:noProof/>
                <w:lang w:eastAsia="fr-FR"/>
              </w:rPr>
              <w:t xml:space="preserve"> Conclusions</w:t>
            </w:r>
            <w:r w:rsidR="00012A4E">
              <w:rPr>
                <w:noProof/>
                <w:webHidden/>
              </w:rPr>
              <w:tab/>
            </w:r>
            <w:r w:rsidR="00012A4E">
              <w:rPr>
                <w:noProof/>
                <w:webHidden/>
              </w:rPr>
              <w:fldChar w:fldCharType="begin"/>
            </w:r>
            <w:r w:rsidR="00012A4E">
              <w:rPr>
                <w:noProof/>
                <w:webHidden/>
              </w:rPr>
              <w:instrText xml:space="preserve"> PAGEREF _Toc122022131 \h </w:instrText>
            </w:r>
            <w:r w:rsidR="00012A4E">
              <w:rPr>
                <w:noProof/>
                <w:webHidden/>
              </w:rPr>
            </w:r>
            <w:r w:rsidR="00012A4E">
              <w:rPr>
                <w:noProof/>
                <w:webHidden/>
              </w:rPr>
              <w:fldChar w:fldCharType="separate"/>
            </w:r>
            <w:r w:rsidR="00EC769B">
              <w:rPr>
                <w:noProof/>
                <w:webHidden/>
              </w:rPr>
              <w:t>6</w:t>
            </w:r>
            <w:r w:rsidR="00012A4E">
              <w:rPr>
                <w:noProof/>
                <w:webHidden/>
              </w:rPr>
              <w:fldChar w:fldCharType="end"/>
            </w:r>
          </w:hyperlink>
        </w:p>
        <w:p w14:paraId="0894910A" w14:textId="77777777" w:rsidR="00B76212" w:rsidRDefault="00B76212" w:rsidP="00B76212">
          <w:r>
            <w:rPr>
              <w:b/>
              <w:bCs/>
              <w:noProof/>
            </w:rPr>
            <w:fldChar w:fldCharType="end"/>
          </w:r>
        </w:p>
      </w:sdtContent>
    </w:sdt>
    <w:p w14:paraId="468CD40C" w14:textId="77777777" w:rsidR="00B76212" w:rsidRPr="006E00D8" w:rsidRDefault="00B76212" w:rsidP="00C978D3">
      <w:pPr>
        <w:rPr>
          <w:b/>
          <w:color w:val="auto"/>
        </w:rPr>
      </w:pPr>
    </w:p>
    <w:p w14:paraId="23AF98AB" w14:textId="77777777" w:rsidR="00C978D3" w:rsidRPr="006E00D8" w:rsidRDefault="00C978D3" w:rsidP="00C978D3">
      <w:pPr>
        <w:rPr>
          <w:b/>
          <w:color w:val="auto"/>
        </w:rPr>
      </w:pPr>
    </w:p>
    <w:p w14:paraId="22809677" w14:textId="77777777" w:rsidR="00C978D3" w:rsidRPr="006E00D8" w:rsidRDefault="00C978D3" w:rsidP="00B76212">
      <w:pPr>
        <w:rPr>
          <w:b/>
          <w:color w:val="auto"/>
        </w:rPr>
      </w:pPr>
    </w:p>
    <w:p w14:paraId="3A190B81" w14:textId="77777777" w:rsidR="00B76212" w:rsidRDefault="00B76212"/>
    <w:p w14:paraId="6DDB1725" w14:textId="77777777" w:rsidR="00C978D3" w:rsidRDefault="00C978D3" w:rsidP="00C978D3">
      <w:pPr>
        <w:rPr>
          <w:b/>
          <w:color w:val="005DA4"/>
        </w:rPr>
      </w:pPr>
      <w:r>
        <w:rPr>
          <w:b/>
          <w:color w:val="005DA4"/>
        </w:rPr>
        <w:br w:type="page"/>
      </w:r>
    </w:p>
    <w:p w14:paraId="0913EAFE" w14:textId="77777777" w:rsidR="006E00D8" w:rsidRPr="005F256C" w:rsidRDefault="006E00D8" w:rsidP="00267160">
      <w:pPr>
        <w:spacing w:after="120"/>
        <w:jc w:val="both"/>
        <w:rPr>
          <w:b/>
        </w:rPr>
      </w:pPr>
      <w:r w:rsidRPr="005F256C">
        <w:rPr>
          <w:b/>
        </w:rPr>
        <w:lastRenderedPageBreak/>
        <w:t>THE EUROPEAN DATA PROTECTION SUPERVISOR,</w:t>
      </w:r>
    </w:p>
    <w:p w14:paraId="5C2AD230" w14:textId="77777777" w:rsidR="006E00D8" w:rsidRPr="005F256C" w:rsidRDefault="006E00D8" w:rsidP="00741237">
      <w:pPr>
        <w:spacing w:after="120"/>
        <w:jc w:val="both"/>
      </w:pPr>
      <w:r w:rsidRPr="005F256C">
        <w:t>Having regard to the Treaty o</w:t>
      </w:r>
      <w:r>
        <w:t>n</w:t>
      </w:r>
      <w:r w:rsidRPr="005F256C">
        <w:t xml:space="preserve"> the Functioning of the European Union, </w:t>
      </w:r>
    </w:p>
    <w:p w14:paraId="71CE52F3" w14:textId="77777777" w:rsidR="006E00D8" w:rsidRPr="005F256C" w:rsidRDefault="006E00D8" w:rsidP="00267160">
      <w:pPr>
        <w:spacing w:after="120"/>
        <w:jc w:val="both"/>
      </w:pPr>
      <w:r w:rsidRPr="005F256C">
        <w:t>Having regard to Regulation (E</w:t>
      </w:r>
      <w:r w:rsidR="00EC343B">
        <w:t>U</w:t>
      </w:r>
      <w:r w:rsidRPr="005F256C">
        <w:t xml:space="preserve">) No </w:t>
      </w:r>
      <w:r>
        <w:t>2018/1725</w:t>
      </w:r>
      <w:r w:rsidRPr="005F256C">
        <w:t xml:space="preserve"> of the European Parliament and of the Council of </w:t>
      </w:r>
      <w:r>
        <w:t>23</w:t>
      </w:r>
      <w:r w:rsidRPr="005F256C">
        <w:t xml:space="preserve"> </w:t>
      </w:r>
      <w:r>
        <w:t>October</w:t>
      </w:r>
      <w:r w:rsidRPr="005F256C">
        <w:t>20</w:t>
      </w:r>
      <w:r>
        <w:t>18</w:t>
      </w:r>
      <w:r w:rsidRPr="005F256C">
        <w:t xml:space="preserve"> on the protection of individuals with regard to the processing of personal data by the Community institutions and bodies and on the free movement of such data</w:t>
      </w:r>
      <w:r w:rsidR="009A3992">
        <w:t xml:space="preserve"> </w:t>
      </w:r>
      <w:r w:rsidR="002D5496" w:rsidRPr="002D5496">
        <w:t>(‘EUDPR’)</w:t>
      </w:r>
      <w:r w:rsidR="00455CC5">
        <w:rPr>
          <w:rStyle w:val="FootnoteReference"/>
        </w:rPr>
        <w:footnoteReference w:id="1"/>
      </w:r>
      <w:r w:rsidRPr="005F256C">
        <w:t xml:space="preserve">, and in particular Article </w:t>
      </w:r>
      <w:r>
        <w:t xml:space="preserve">42(1) </w:t>
      </w:r>
      <w:r w:rsidRPr="005F256C">
        <w:t>thereof,</w:t>
      </w:r>
    </w:p>
    <w:p w14:paraId="13513A7A" w14:textId="77777777" w:rsidR="006E00D8" w:rsidRDefault="006E00D8" w:rsidP="006E00D8">
      <w:pPr>
        <w:spacing w:after="120"/>
        <w:rPr>
          <w:b/>
        </w:rPr>
      </w:pPr>
    </w:p>
    <w:p w14:paraId="2E3D1A16" w14:textId="77777777" w:rsidR="00C978D3" w:rsidRPr="00C978D3" w:rsidRDefault="006E00D8" w:rsidP="006E00D8">
      <w:pPr>
        <w:spacing w:after="120"/>
      </w:pPr>
      <w:r w:rsidRPr="005F256C">
        <w:rPr>
          <w:b/>
        </w:rPr>
        <w:t>HAS ADOPTED THE FOLLOWING OPINION:</w:t>
      </w:r>
    </w:p>
    <w:p w14:paraId="791E8792" w14:textId="77777777" w:rsidR="00F60B8E" w:rsidRDefault="00F60B8E" w:rsidP="00F60B8E">
      <w:pPr>
        <w:pStyle w:val="Heading1"/>
        <w:rPr>
          <w:rFonts w:asciiTheme="minorHAnsi" w:hAnsiTheme="minorHAnsi" w:cstheme="minorHAnsi"/>
        </w:rPr>
      </w:pPr>
      <w:bookmarkStart w:id="1" w:name="_Toc97887073"/>
      <w:bookmarkStart w:id="2" w:name="_Toc122022127"/>
      <w:r w:rsidRPr="006E00D8">
        <w:rPr>
          <w:rFonts w:asciiTheme="minorHAnsi" w:hAnsiTheme="minorHAnsi" w:cstheme="minorHAnsi"/>
        </w:rPr>
        <w:t>I</w:t>
      </w:r>
      <w:r w:rsidR="006E00D8" w:rsidRPr="006E00D8">
        <w:rPr>
          <w:rFonts w:asciiTheme="minorHAnsi" w:hAnsiTheme="minorHAnsi" w:cstheme="minorHAnsi"/>
        </w:rPr>
        <w:t>ntroduction</w:t>
      </w:r>
      <w:bookmarkEnd w:id="1"/>
      <w:bookmarkEnd w:id="2"/>
    </w:p>
    <w:p w14:paraId="2343D41E" w14:textId="77777777" w:rsidR="00455CC5" w:rsidRPr="00B76212" w:rsidRDefault="00455CC5" w:rsidP="003B3AF7">
      <w:pPr>
        <w:pStyle w:val="ListParagraph"/>
        <w:numPr>
          <w:ilvl w:val="0"/>
          <w:numId w:val="55"/>
        </w:numPr>
        <w:jc w:val="both"/>
        <w:rPr>
          <w:color w:val="000000"/>
          <w:szCs w:val="24"/>
        </w:rPr>
      </w:pPr>
      <w:r w:rsidRPr="00B76212">
        <w:rPr>
          <w:color w:val="000000"/>
          <w:szCs w:val="24"/>
        </w:rPr>
        <w:t xml:space="preserve">On </w:t>
      </w:r>
      <w:r w:rsidR="005C6C55">
        <w:rPr>
          <w:color w:val="000000"/>
          <w:szCs w:val="24"/>
        </w:rPr>
        <w:t>26 October 2022</w:t>
      </w:r>
      <w:r w:rsidRPr="00B76212">
        <w:rPr>
          <w:color w:val="000000"/>
          <w:szCs w:val="24"/>
        </w:rPr>
        <w:t xml:space="preserve"> the European Commission </w:t>
      </w:r>
      <w:r w:rsidR="00BF4F81" w:rsidRPr="00B76212">
        <w:rPr>
          <w:color w:val="000000"/>
          <w:szCs w:val="24"/>
        </w:rPr>
        <w:t>issued</w:t>
      </w:r>
      <w:r w:rsidR="001B2CA7" w:rsidRPr="00B76212">
        <w:rPr>
          <w:color w:val="000000"/>
          <w:szCs w:val="24"/>
        </w:rPr>
        <w:t xml:space="preserve"> </w:t>
      </w:r>
      <w:r w:rsidR="005C6C55">
        <w:rPr>
          <w:color w:val="000000"/>
          <w:szCs w:val="24"/>
        </w:rPr>
        <w:t>a Proposal for a Regulation of the European Parliament and of the Council amending Regulations (EU) No 260/2012 and (EU) 2021/1230 as regards instant credit transfers in euro.</w:t>
      </w:r>
    </w:p>
    <w:p w14:paraId="7C2D41E9" w14:textId="77777777" w:rsidR="00455CC5" w:rsidRPr="003B3AF7" w:rsidRDefault="00455CC5" w:rsidP="003B3AF7">
      <w:pPr>
        <w:pStyle w:val="ListParagraph"/>
        <w:numPr>
          <w:ilvl w:val="0"/>
          <w:numId w:val="55"/>
        </w:numPr>
        <w:jc w:val="both"/>
        <w:rPr>
          <w:color w:val="000000"/>
          <w:szCs w:val="24"/>
        </w:rPr>
      </w:pPr>
      <w:r w:rsidRPr="003B3AF7">
        <w:rPr>
          <w:color w:val="000000"/>
          <w:szCs w:val="24"/>
        </w:rPr>
        <w:t xml:space="preserve">The objective of the Proposal is to </w:t>
      </w:r>
      <w:r w:rsidR="006601A0">
        <w:rPr>
          <w:color w:val="000000"/>
          <w:szCs w:val="24"/>
        </w:rPr>
        <w:t xml:space="preserve">improve the low uptake of euro instant credit transfers to allow for their benefits to realise, including efficiency gains for consumers, merchants, corporate users, </w:t>
      </w:r>
      <w:r w:rsidR="00867CE5">
        <w:rPr>
          <w:color w:val="000000"/>
          <w:szCs w:val="24"/>
        </w:rPr>
        <w:t>payment service providers</w:t>
      </w:r>
      <w:r w:rsidR="006601A0">
        <w:rPr>
          <w:color w:val="000000"/>
          <w:szCs w:val="24"/>
        </w:rPr>
        <w:t xml:space="preserve"> and financial technology companies, and public administrations including tax authorities</w:t>
      </w:r>
      <w:r w:rsidR="00867CE5">
        <w:rPr>
          <w:color w:val="000000"/>
          <w:szCs w:val="24"/>
        </w:rPr>
        <w:t>.</w:t>
      </w:r>
      <w:r w:rsidR="00CE7B5B">
        <w:rPr>
          <w:color w:val="000000"/>
          <w:szCs w:val="24"/>
        </w:rPr>
        <w:t xml:space="preserve"> A second objective is to extend the means of payment at points of interaction, particularly for cross-border transactions.</w:t>
      </w:r>
      <w:r w:rsidR="00867CE5">
        <w:rPr>
          <w:color w:val="000000"/>
          <w:szCs w:val="24"/>
        </w:rPr>
        <w:t xml:space="preserve"> </w:t>
      </w:r>
    </w:p>
    <w:p w14:paraId="6F467EA1" w14:textId="670DD529" w:rsidR="003B3AF7" w:rsidRPr="00A37B9A" w:rsidRDefault="00CE7B5B" w:rsidP="00A37B9A">
      <w:pPr>
        <w:pStyle w:val="ListParagraph"/>
        <w:numPr>
          <w:ilvl w:val="0"/>
          <w:numId w:val="55"/>
        </w:numPr>
        <w:jc w:val="both"/>
        <w:rPr>
          <w:color w:val="000000"/>
          <w:szCs w:val="24"/>
        </w:rPr>
      </w:pPr>
      <w:r>
        <w:rPr>
          <w:color w:val="000000"/>
          <w:szCs w:val="24"/>
        </w:rPr>
        <w:t xml:space="preserve">Two EU legal acts in the </w:t>
      </w:r>
      <w:r w:rsidRPr="00CE7B5B">
        <w:rPr>
          <w:rFonts w:eastAsia="Calibri"/>
          <w:noProof/>
          <w:szCs w:val="24"/>
        </w:rPr>
        <w:t>field of payments, the 2015 Directive on payment services in the internal market (PSD2)</w:t>
      </w:r>
      <w:r w:rsidRPr="00CE7B5B">
        <w:rPr>
          <w:rStyle w:val="FootnoteReference"/>
          <w:noProof/>
        </w:rPr>
        <w:footnoteReference w:id="2"/>
      </w:r>
      <w:r w:rsidRPr="00CE7B5B">
        <w:rPr>
          <w:rFonts w:eastAsia="Calibri"/>
          <w:noProof/>
          <w:szCs w:val="24"/>
        </w:rPr>
        <w:t xml:space="preserve"> and the Regulation on cross-border payments</w:t>
      </w:r>
      <w:r w:rsidRPr="00CE7B5B">
        <w:rPr>
          <w:rStyle w:val="FootnoteReference"/>
          <w:noProof/>
        </w:rPr>
        <w:footnoteReference w:id="3"/>
      </w:r>
      <w:r w:rsidRPr="00CE7B5B">
        <w:rPr>
          <w:rFonts w:eastAsia="Calibri"/>
          <w:noProof/>
          <w:szCs w:val="24"/>
        </w:rPr>
        <w:t xml:space="preserve">, already apply to </w:t>
      </w:r>
      <w:r w:rsidR="00241CB3">
        <w:rPr>
          <w:rFonts w:eastAsia="Calibri"/>
          <w:noProof/>
          <w:szCs w:val="24"/>
        </w:rPr>
        <w:t>instant payment</w:t>
      </w:r>
      <w:r w:rsidRPr="00CE7B5B">
        <w:rPr>
          <w:rFonts w:eastAsia="Calibri"/>
          <w:noProof/>
          <w:szCs w:val="24"/>
        </w:rPr>
        <w:t>s and will continue to do so after the entry into force of this proposal.</w:t>
      </w:r>
      <w:r w:rsidRPr="000B434C">
        <w:rPr>
          <w:rFonts w:eastAsia="Calibri"/>
          <w:noProof/>
          <w:szCs w:val="24"/>
        </w:rPr>
        <w:t xml:space="preserve"> </w:t>
      </w:r>
      <w:r w:rsidR="00252456">
        <w:rPr>
          <w:rFonts w:eastAsia="Calibri"/>
          <w:noProof/>
          <w:szCs w:val="24"/>
        </w:rPr>
        <w:t>However, the SEPA Regulation</w:t>
      </w:r>
      <w:r w:rsidR="00252456">
        <w:rPr>
          <w:rStyle w:val="FootnoteReference"/>
          <w:rFonts w:eastAsia="Calibri"/>
          <w:noProof/>
          <w:szCs w:val="24"/>
        </w:rPr>
        <w:footnoteReference w:id="4"/>
      </w:r>
      <w:r w:rsidR="00252456">
        <w:rPr>
          <w:rFonts w:eastAsia="Calibri"/>
          <w:noProof/>
          <w:szCs w:val="24"/>
        </w:rPr>
        <w:t xml:space="preserve"> was chosen by the Commission to host the new provisions as it lays down technical and business requirements for all credit transfers in euro and instant payments in euro are a new category of credit transfers in euro. </w:t>
      </w:r>
    </w:p>
    <w:p w14:paraId="7E74D168" w14:textId="77777777" w:rsidR="002D5496" w:rsidRDefault="002D5496" w:rsidP="003B3AF7">
      <w:pPr>
        <w:pStyle w:val="ListParagraph"/>
        <w:numPr>
          <w:ilvl w:val="0"/>
          <w:numId w:val="55"/>
        </w:numPr>
        <w:spacing w:before="100" w:beforeAutospacing="1" w:after="100" w:afterAutospacing="1"/>
        <w:jc w:val="both"/>
        <w:rPr>
          <w:szCs w:val="24"/>
          <w:lang w:val="en-GB"/>
        </w:rPr>
      </w:pPr>
      <w:r w:rsidRPr="00B76212">
        <w:rPr>
          <w:szCs w:val="24"/>
          <w:lang w:val="en-GB"/>
        </w:rPr>
        <w:t xml:space="preserve">The present Opinion of the EDPS is issued in response to a consultation by the European Commission of </w:t>
      </w:r>
      <w:r w:rsidR="00DF5CB5">
        <w:rPr>
          <w:szCs w:val="24"/>
          <w:lang w:val="en-GB"/>
        </w:rPr>
        <w:t>27 October 2022</w:t>
      </w:r>
      <w:r w:rsidRPr="00B76212">
        <w:rPr>
          <w:szCs w:val="24"/>
          <w:lang w:val="en-GB"/>
        </w:rPr>
        <w:t xml:space="preserve">, pursuant to Article 42(1) of EUDPR. </w:t>
      </w:r>
      <w:r w:rsidR="00164EC1" w:rsidRPr="00B76212">
        <w:rPr>
          <w:szCs w:val="24"/>
          <w:lang w:val="en-GB"/>
        </w:rPr>
        <w:t xml:space="preserve">The EDPS welcomes the reference to this consultation in Recital </w:t>
      </w:r>
      <w:r w:rsidR="00252456">
        <w:rPr>
          <w:szCs w:val="24"/>
          <w:lang w:val="en-GB"/>
        </w:rPr>
        <w:t>23</w:t>
      </w:r>
      <w:r w:rsidR="00164EC1" w:rsidRPr="00B76212">
        <w:rPr>
          <w:szCs w:val="24"/>
          <w:lang w:val="en-GB"/>
        </w:rPr>
        <w:t xml:space="preserve"> of the Proposal.</w:t>
      </w:r>
      <w:r w:rsidR="00164EC1">
        <w:rPr>
          <w:szCs w:val="24"/>
          <w:lang w:val="en-GB"/>
        </w:rPr>
        <w:t xml:space="preserve"> </w:t>
      </w:r>
    </w:p>
    <w:p w14:paraId="62928AC6" w14:textId="77777777" w:rsidR="00F60B8E" w:rsidRDefault="000A135D" w:rsidP="00F60B8E">
      <w:pPr>
        <w:pStyle w:val="Heading1"/>
        <w:rPr>
          <w:rFonts w:asciiTheme="minorHAnsi" w:hAnsiTheme="minorHAnsi" w:cstheme="minorHAnsi"/>
          <w:lang w:val="en-US" w:eastAsia="fr-FR"/>
        </w:rPr>
      </w:pPr>
      <w:bookmarkStart w:id="3" w:name="_Toc97887074"/>
      <w:bookmarkStart w:id="4" w:name="_Toc122022128"/>
      <w:r>
        <w:rPr>
          <w:rFonts w:asciiTheme="minorHAnsi" w:hAnsiTheme="minorHAnsi" w:cstheme="minorHAnsi"/>
          <w:lang w:val="en-US" w:eastAsia="fr-FR"/>
        </w:rPr>
        <w:lastRenderedPageBreak/>
        <w:t>General remarks</w:t>
      </w:r>
      <w:bookmarkEnd w:id="3"/>
      <w:bookmarkEnd w:id="4"/>
    </w:p>
    <w:p w14:paraId="2AE2C1D8" w14:textId="77777777" w:rsidR="00C267DA" w:rsidRDefault="00C267DA" w:rsidP="0027615B">
      <w:pPr>
        <w:pStyle w:val="ListParagraph"/>
        <w:numPr>
          <w:ilvl w:val="0"/>
          <w:numId w:val="55"/>
        </w:numPr>
        <w:spacing w:before="100" w:beforeAutospacing="1"/>
        <w:jc w:val="both"/>
        <w:rPr>
          <w:szCs w:val="24"/>
          <w:lang w:val="en-GB"/>
        </w:rPr>
      </w:pPr>
      <w:r>
        <w:rPr>
          <w:szCs w:val="24"/>
          <w:lang w:val="en-GB"/>
        </w:rPr>
        <w:t xml:space="preserve">According to the legislative memorandum, the Commission has identified four problem drivers that are being addressed by the Proposal, among them </w:t>
      </w:r>
      <w:r w:rsidR="0027615B">
        <w:rPr>
          <w:szCs w:val="24"/>
          <w:lang w:val="en-GB"/>
        </w:rPr>
        <w:t>also two that relate to data protection: under the current legislation, a high rate of rejected instant payments is caused by wrongly identifying persons who are involved in the transfer as persons on EU sanctions lists. The Proposal provides for a requirement for sanctions screening in the form of very frequent checking of clients against EU sanctions lists, rather than for each individual transaction, to avoid the false positives.</w:t>
      </w:r>
      <w:r w:rsidR="002F45B6">
        <w:rPr>
          <w:szCs w:val="24"/>
          <w:lang w:val="en-GB"/>
        </w:rPr>
        <w:t xml:space="preserve"> This also implies that the required data processing will occur without the persons concerned having provided a reason for the verification, e.g. by initiating an instant payment.</w:t>
      </w:r>
    </w:p>
    <w:p w14:paraId="5833553B" w14:textId="18B76A00" w:rsidR="0027615B" w:rsidRDefault="0027615B" w:rsidP="0027615B">
      <w:pPr>
        <w:pStyle w:val="ListParagraph"/>
        <w:numPr>
          <w:ilvl w:val="0"/>
          <w:numId w:val="55"/>
        </w:numPr>
        <w:spacing w:before="100" w:beforeAutospacing="1"/>
        <w:jc w:val="both"/>
        <w:rPr>
          <w:szCs w:val="24"/>
          <w:lang w:val="en-GB"/>
        </w:rPr>
      </w:pPr>
      <w:r>
        <w:rPr>
          <w:szCs w:val="24"/>
          <w:lang w:val="en-GB"/>
        </w:rPr>
        <w:t xml:space="preserve">Secondly, payers are concerned about the security of instant payments. The Proposal </w:t>
      </w:r>
      <w:r w:rsidR="002B18CF">
        <w:rPr>
          <w:szCs w:val="24"/>
          <w:lang w:val="en-GB"/>
        </w:rPr>
        <w:t xml:space="preserve">aims </w:t>
      </w:r>
      <w:r>
        <w:rPr>
          <w:szCs w:val="24"/>
          <w:lang w:val="en-GB"/>
        </w:rPr>
        <w:t xml:space="preserve">to address this problem driver by requiring the payment service providers to offer a service enabling customers to be notified </w:t>
      </w:r>
      <w:r w:rsidR="002F45B6">
        <w:rPr>
          <w:szCs w:val="24"/>
          <w:lang w:val="en-GB"/>
        </w:rPr>
        <w:t xml:space="preserve">prior to authorising the instant credit transfer </w:t>
      </w:r>
      <w:r>
        <w:rPr>
          <w:szCs w:val="24"/>
          <w:lang w:val="en-GB"/>
        </w:rPr>
        <w:t>when a mismatch is detected between the payee’s name and international bank account number (IBAN), as supplied by the payer.</w:t>
      </w:r>
      <w:r w:rsidR="002F45B6">
        <w:rPr>
          <w:szCs w:val="24"/>
          <w:lang w:val="en-GB"/>
        </w:rPr>
        <w:t xml:space="preserve"> Payment service providers are therefore required to verify the discrepancies between the name and payment account identifier of the payee in case of euro IPs, thus to process additional data.</w:t>
      </w:r>
    </w:p>
    <w:p w14:paraId="4459A980" w14:textId="77777777" w:rsidR="0027615B" w:rsidRDefault="0027615B" w:rsidP="0027615B">
      <w:pPr>
        <w:pStyle w:val="ListParagraph"/>
        <w:numPr>
          <w:ilvl w:val="0"/>
          <w:numId w:val="55"/>
        </w:numPr>
        <w:spacing w:before="100" w:beforeAutospacing="1"/>
        <w:jc w:val="both"/>
        <w:rPr>
          <w:szCs w:val="24"/>
          <w:lang w:val="en-GB"/>
        </w:rPr>
      </w:pPr>
      <w:r>
        <w:rPr>
          <w:szCs w:val="24"/>
          <w:lang w:val="en-GB"/>
        </w:rPr>
        <w:t>The current Opinion will focus on these two measures with data protection relevance</w:t>
      </w:r>
      <w:r w:rsidR="002F45B6">
        <w:rPr>
          <w:szCs w:val="24"/>
          <w:lang w:val="en-GB"/>
        </w:rPr>
        <w:t>, as laid down in the new Article 5c and new Article 5d of Regulation (EU) No 260/2012</w:t>
      </w:r>
      <w:r>
        <w:rPr>
          <w:szCs w:val="24"/>
          <w:lang w:val="en-GB"/>
        </w:rPr>
        <w:t>.</w:t>
      </w:r>
    </w:p>
    <w:p w14:paraId="3EC87103" w14:textId="77777777" w:rsidR="00FD05C3" w:rsidRDefault="00FD05C3" w:rsidP="0027615B">
      <w:pPr>
        <w:pStyle w:val="ListParagraph"/>
        <w:numPr>
          <w:ilvl w:val="0"/>
          <w:numId w:val="55"/>
        </w:numPr>
        <w:spacing w:before="100" w:beforeAutospacing="1"/>
        <w:jc w:val="both"/>
        <w:rPr>
          <w:szCs w:val="24"/>
          <w:lang w:val="en-GB"/>
        </w:rPr>
      </w:pPr>
      <w:r>
        <w:rPr>
          <w:szCs w:val="24"/>
          <w:lang w:val="en-GB"/>
        </w:rPr>
        <w:t>The EDPS welcomes the reference to the GDPR in Recital 21.</w:t>
      </w:r>
    </w:p>
    <w:p w14:paraId="2AA44DF1" w14:textId="77777777" w:rsidR="007E60F9" w:rsidRDefault="00A26597" w:rsidP="009A3992">
      <w:pPr>
        <w:pStyle w:val="Heading1"/>
        <w:rPr>
          <w:color w:val="000000"/>
          <w:sz w:val="27"/>
          <w:szCs w:val="27"/>
        </w:rPr>
      </w:pPr>
      <w:bookmarkStart w:id="5" w:name="_Toc97887075"/>
      <w:bookmarkStart w:id="6" w:name="_Toc122022129"/>
      <w:r>
        <w:rPr>
          <w:color w:val="000000"/>
          <w:sz w:val="27"/>
          <w:szCs w:val="27"/>
        </w:rPr>
        <w:t>Verification of discrepancies between the name and payment account identifier of a payee in case of instant credit transfers</w:t>
      </w:r>
      <w:bookmarkEnd w:id="5"/>
      <w:bookmarkEnd w:id="6"/>
    </w:p>
    <w:p w14:paraId="7C4EE5D2" w14:textId="77777777" w:rsidR="003B3AF7" w:rsidRDefault="009A3992" w:rsidP="0099068C">
      <w:pPr>
        <w:spacing w:before="0" w:after="0"/>
        <w:jc w:val="both"/>
        <w:rPr>
          <w:lang w:val="en-GB"/>
        </w:rPr>
      </w:pPr>
      <w:r w:rsidRPr="009A3992">
        <w:rPr>
          <w:lang w:val="en-GB"/>
        </w:rPr>
        <w:t xml:space="preserve"> </w:t>
      </w:r>
      <w:r w:rsidR="003B3AF7">
        <w:rPr>
          <w:lang w:val="en-GB"/>
        </w:rPr>
        <w:tab/>
      </w:r>
    </w:p>
    <w:p w14:paraId="79D3B03B" w14:textId="4F6A4F40" w:rsidR="00F14FC9" w:rsidRDefault="002B18CF" w:rsidP="00F14FC9">
      <w:pPr>
        <w:pStyle w:val="ListParagraph"/>
        <w:numPr>
          <w:ilvl w:val="0"/>
          <w:numId w:val="55"/>
        </w:numPr>
        <w:spacing w:before="100" w:beforeAutospacing="1"/>
        <w:jc w:val="both"/>
        <w:rPr>
          <w:szCs w:val="24"/>
          <w:lang w:val="en-GB"/>
        </w:rPr>
      </w:pPr>
      <w:r>
        <w:rPr>
          <w:szCs w:val="24"/>
          <w:lang w:val="en-GB"/>
        </w:rPr>
        <w:t xml:space="preserve">The proposed </w:t>
      </w:r>
      <w:r w:rsidR="00A26597">
        <w:rPr>
          <w:szCs w:val="24"/>
          <w:lang w:val="en-GB"/>
        </w:rPr>
        <w:t xml:space="preserve">Article 5c </w:t>
      </w:r>
      <w:r>
        <w:rPr>
          <w:szCs w:val="24"/>
          <w:lang w:val="en-GB"/>
        </w:rPr>
        <w:t xml:space="preserve">of the SEPA Regulation would </w:t>
      </w:r>
      <w:r w:rsidR="00A26597">
        <w:rPr>
          <w:szCs w:val="24"/>
          <w:lang w:val="en-GB"/>
        </w:rPr>
        <w:t xml:space="preserve">oblige payment service providers to verify whether the payment account identifier and the name of the payee provided by the payer match. Where they do not match, that payment service provider </w:t>
      </w:r>
      <w:r w:rsidR="00F14FC9">
        <w:rPr>
          <w:szCs w:val="24"/>
          <w:lang w:val="en-GB"/>
        </w:rPr>
        <w:t>shall notify the payer of any discrepancies detected and the degree of any such discrepancy.</w:t>
      </w:r>
    </w:p>
    <w:p w14:paraId="491CCCE1" w14:textId="3C6F2E81" w:rsidR="00F14FC9" w:rsidRDefault="00F14FC9" w:rsidP="00F14FC9">
      <w:pPr>
        <w:pStyle w:val="ListParagraph"/>
        <w:numPr>
          <w:ilvl w:val="0"/>
          <w:numId w:val="55"/>
        </w:numPr>
        <w:spacing w:before="100" w:beforeAutospacing="1"/>
        <w:jc w:val="both"/>
        <w:rPr>
          <w:szCs w:val="24"/>
          <w:lang w:val="en-GB"/>
        </w:rPr>
      </w:pPr>
      <w:r>
        <w:rPr>
          <w:szCs w:val="24"/>
          <w:lang w:val="en-GB"/>
        </w:rPr>
        <w:t>The EDPS recalls that banks require the payer to provide the name of the payee for other purposes, e.g. compliance. The data collected will therefore be the same. But the payment service providers offering instant credit transfers will now jointly have to verify the payer’s information about the payee in automated form and present discrepancies</w:t>
      </w:r>
      <w:r w:rsidR="00CD44EA">
        <w:rPr>
          <w:szCs w:val="24"/>
          <w:lang w:val="en-GB"/>
        </w:rPr>
        <w:t xml:space="preserve"> to the payer</w:t>
      </w:r>
      <w:r>
        <w:rPr>
          <w:szCs w:val="24"/>
          <w:lang w:val="en-GB"/>
        </w:rPr>
        <w:t xml:space="preserve">. The EDPS recognizes that this is additional processing of the personal data of the payee, however </w:t>
      </w:r>
      <w:r w:rsidR="004652FE">
        <w:rPr>
          <w:szCs w:val="24"/>
          <w:lang w:val="en-GB"/>
        </w:rPr>
        <w:t xml:space="preserve">he is of the opinion that </w:t>
      </w:r>
      <w:r>
        <w:rPr>
          <w:szCs w:val="24"/>
          <w:lang w:val="en-GB"/>
        </w:rPr>
        <w:t>it is justified by its purpose to give assurance that an instant credit transfer will reach the person it is intended for.</w:t>
      </w:r>
    </w:p>
    <w:p w14:paraId="70ECC0E8" w14:textId="77777777" w:rsidR="004652FE" w:rsidRDefault="00F14FC9" w:rsidP="00F14FC9">
      <w:pPr>
        <w:pStyle w:val="ListParagraph"/>
        <w:numPr>
          <w:ilvl w:val="0"/>
          <w:numId w:val="55"/>
        </w:numPr>
        <w:spacing w:before="100" w:beforeAutospacing="1"/>
        <w:jc w:val="both"/>
        <w:rPr>
          <w:szCs w:val="24"/>
          <w:lang w:val="en-GB"/>
        </w:rPr>
      </w:pPr>
      <w:r>
        <w:rPr>
          <w:szCs w:val="24"/>
          <w:lang w:val="en-GB"/>
        </w:rPr>
        <w:t xml:space="preserve">The EDPS further welcomes that this service </w:t>
      </w:r>
      <w:r w:rsidR="004652FE">
        <w:rPr>
          <w:szCs w:val="24"/>
          <w:lang w:val="en-GB"/>
        </w:rPr>
        <w:t>is offered with a possibility to opt-out and to opt-in again, so that the payment service user can limit the processing to what he or she deems necessary. That only users receiving the service can opt-out and not users who receive funds and whose data are processed is a cogent consequence of the purposes of this processing and does not render the processing disproportionate.</w:t>
      </w:r>
    </w:p>
    <w:p w14:paraId="45B17712" w14:textId="77777777" w:rsidR="0099068C" w:rsidRPr="0099068C" w:rsidRDefault="0099068C" w:rsidP="004652FE">
      <w:pPr>
        <w:spacing w:before="0" w:after="240"/>
        <w:ind w:left="720"/>
        <w:jc w:val="both"/>
        <w:rPr>
          <w:rFonts w:ascii="Libertinus Sans" w:eastAsia="Calibri" w:hAnsi="Libertinus Sans" w:cs="Libertinus Sans"/>
          <w:i/>
          <w:color w:val="auto"/>
          <w:szCs w:val="24"/>
          <w14:numForm w14:val="default"/>
        </w:rPr>
      </w:pPr>
    </w:p>
    <w:p w14:paraId="4431D1DE" w14:textId="77777777" w:rsidR="009A3992" w:rsidRDefault="009A3992" w:rsidP="00F14FC9">
      <w:pPr>
        <w:pStyle w:val="Heading1"/>
        <w:spacing w:after="240"/>
        <w:rPr>
          <w:color w:val="000000"/>
          <w:sz w:val="27"/>
          <w:szCs w:val="27"/>
        </w:rPr>
      </w:pPr>
      <w:bookmarkStart w:id="7" w:name="_Toc97887076"/>
      <w:r w:rsidRPr="000A135D">
        <w:rPr>
          <w:color w:val="000000"/>
          <w:sz w:val="27"/>
          <w:szCs w:val="27"/>
        </w:rPr>
        <w:lastRenderedPageBreak/>
        <w:t xml:space="preserve"> </w:t>
      </w:r>
      <w:bookmarkStart w:id="8" w:name="_Toc122022130"/>
      <w:r w:rsidR="004652FE">
        <w:rPr>
          <w:color w:val="000000"/>
          <w:sz w:val="27"/>
          <w:szCs w:val="27"/>
        </w:rPr>
        <w:t>Screening of payment services users with regard to Union sanctions in case of instant credit transfers</w:t>
      </w:r>
      <w:bookmarkEnd w:id="8"/>
      <w:r w:rsidR="004652FE">
        <w:rPr>
          <w:color w:val="000000"/>
          <w:sz w:val="27"/>
          <w:szCs w:val="27"/>
        </w:rPr>
        <w:t xml:space="preserve"> </w:t>
      </w:r>
      <w:bookmarkEnd w:id="7"/>
    </w:p>
    <w:p w14:paraId="464D13CE" w14:textId="7E4AF6C3" w:rsidR="004A748C" w:rsidRDefault="00CD44EA" w:rsidP="00F14FC9">
      <w:pPr>
        <w:pStyle w:val="ListParagraph"/>
        <w:numPr>
          <w:ilvl w:val="0"/>
          <w:numId w:val="55"/>
        </w:numPr>
        <w:spacing w:before="100" w:beforeAutospacing="1"/>
        <w:jc w:val="both"/>
        <w:rPr>
          <w:szCs w:val="24"/>
          <w:lang w:val="en-GB"/>
        </w:rPr>
      </w:pPr>
      <w:r>
        <w:rPr>
          <w:szCs w:val="24"/>
          <w:lang w:val="en-GB"/>
        </w:rPr>
        <w:t xml:space="preserve">The proposed </w:t>
      </w:r>
      <w:r w:rsidR="004A748C">
        <w:rPr>
          <w:szCs w:val="24"/>
          <w:lang w:val="en-GB"/>
        </w:rPr>
        <w:t>Article 5d</w:t>
      </w:r>
      <w:r w:rsidR="00BE2128">
        <w:rPr>
          <w:szCs w:val="24"/>
          <w:lang w:val="en-GB"/>
        </w:rPr>
        <w:t xml:space="preserve">(1) </w:t>
      </w:r>
      <w:r w:rsidR="004A748C">
        <w:rPr>
          <w:szCs w:val="24"/>
          <w:lang w:val="en-GB"/>
        </w:rPr>
        <w:t>of Regulation (EU) No 260/2012</w:t>
      </w:r>
      <w:r w:rsidR="004A748C" w:rsidRPr="003B3AF7">
        <w:rPr>
          <w:szCs w:val="24"/>
          <w:lang w:val="en-GB"/>
        </w:rPr>
        <w:t xml:space="preserve"> </w:t>
      </w:r>
      <w:r>
        <w:rPr>
          <w:szCs w:val="24"/>
          <w:lang w:val="en-GB"/>
        </w:rPr>
        <w:t>would</w:t>
      </w:r>
      <w:r w:rsidR="002B18CF">
        <w:rPr>
          <w:szCs w:val="24"/>
          <w:lang w:val="en-GB"/>
        </w:rPr>
        <w:t xml:space="preserve"> </w:t>
      </w:r>
      <w:r w:rsidR="004A748C">
        <w:rPr>
          <w:szCs w:val="24"/>
          <w:lang w:val="en-GB"/>
        </w:rPr>
        <w:t xml:space="preserve">provide for an obligation for payment service providers to verify immediately after the entry into force of any new or amended restrictive measures adopted in accordance with Article 215 TFEU providing for asset freeze or prohibition of making funds or economic resources available, whether any of their payment services users are listed persons or entities. Additionally, this verification </w:t>
      </w:r>
      <w:r>
        <w:rPr>
          <w:szCs w:val="24"/>
          <w:lang w:val="en-GB"/>
        </w:rPr>
        <w:t xml:space="preserve">would have </w:t>
      </w:r>
      <w:r w:rsidR="004A748C">
        <w:rPr>
          <w:szCs w:val="24"/>
          <w:lang w:val="en-GB"/>
        </w:rPr>
        <w:t>to be carried out at least once every calendar day.</w:t>
      </w:r>
    </w:p>
    <w:p w14:paraId="15FD9DBB" w14:textId="483D53C7" w:rsidR="00BE2128" w:rsidRDefault="00BE2128" w:rsidP="00F14FC9">
      <w:pPr>
        <w:pStyle w:val="ListParagraph"/>
        <w:numPr>
          <w:ilvl w:val="0"/>
          <w:numId w:val="55"/>
        </w:numPr>
        <w:spacing w:before="100" w:beforeAutospacing="1"/>
        <w:jc w:val="both"/>
        <w:rPr>
          <w:szCs w:val="24"/>
          <w:lang w:val="en-GB"/>
        </w:rPr>
      </w:pPr>
      <w:r>
        <w:rPr>
          <w:szCs w:val="24"/>
          <w:lang w:val="en-GB"/>
        </w:rPr>
        <w:t>On the other hand, verifications during the execution of an instant credit transfer sh</w:t>
      </w:r>
      <w:r w:rsidR="00CD44EA">
        <w:rPr>
          <w:szCs w:val="24"/>
          <w:lang w:val="en-GB"/>
        </w:rPr>
        <w:t>ou</w:t>
      </w:r>
      <w:r>
        <w:rPr>
          <w:szCs w:val="24"/>
          <w:lang w:val="en-GB"/>
        </w:rPr>
        <w:t>l</w:t>
      </w:r>
      <w:r w:rsidR="00CD44EA">
        <w:rPr>
          <w:szCs w:val="24"/>
          <w:lang w:val="en-GB"/>
        </w:rPr>
        <w:t>d</w:t>
      </w:r>
      <w:r>
        <w:rPr>
          <w:szCs w:val="24"/>
          <w:lang w:val="en-GB"/>
        </w:rPr>
        <w:t xml:space="preserve"> not take place.</w:t>
      </w:r>
    </w:p>
    <w:p w14:paraId="3D98C4E2" w14:textId="73C3D441" w:rsidR="00FD05C3" w:rsidRDefault="00BE2128" w:rsidP="00F14FC9">
      <w:pPr>
        <w:pStyle w:val="ListParagraph"/>
        <w:numPr>
          <w:ilvl w:val="0"/>
          <w:numId w:val="55"/>
        </w:numPr>
        <w:spacing w:before="100" w:beforeAutospacing="1"/>
        <w:jc w:val="both"/>
        <w:rPr>
          <w:szCs w:val="24"/>
          <w:lang w:val="en-GB"/>
        </w:rPr>
      </w:pPr>
      <w:r>
        <w:rPr>
          <w:szCs w:val="24"/>
          <w:lang w:val="en-GB"/>
        </w:rPr>
        <w:t xml:space="preserve">The EDPS takes note of the balancing undertaken by the Commission between the need to implement the sanctions regime and the efficiency of the payment system. He further takes note that </w:t>
      </w:r>
      <w:r w:rsidR="00FD05C3">
        <w:rPr>
          <w:szCs w:val="24"/>
          <w:lang w:val="en-GB"/>
        </w:rPr>
        <w:t xml:space="preserve">the current system does not allow for manual verification of false hits in case of instant credit transfers, leading to unfounded refusals of payments and faulty processing of personal data. Therefore, the EDPS welcomes the abandonment of the </w:t>
      </w:r>
      <w:r w:rsidR="001B4322">
        <w:rPr>
          <w:szCs w:val="24"/>
          <w:lang w:val="en-GB"/>
        </w:rPr>
        <w:t xml:space="preserve">existing </w:t>
      </w:r>
      <w:r w:rsidR="00FD05C3">
        <w:rPr>
          <w:szCs w:val="24"/>
          <w:lang w:val="en-GB"/>
        </w:rPr>
        <w:t xml:space="preserve">verification practice by the Proposal. </w:t>
      </w:r>
    </w:p>
    <w:p w14:paraId="28C5E38D" w14:textId="3AB2AF16" w:rsidR="003B3AF7" w:rsidRPr="00FD05C3" w:rsidRDefault="00FD05C3" w:rsidP="00FD05C3">
      <w:pPr>
        <w:pStyle w:val="ListParagraph"/>
        <w:numPr>
          <w:ilvl w:val="0"/>
          <w:numId w:val="55"/>
        </w:numPr>
        <w:spacing w:before="100" w:beforeAutospacing="1"/>
        <w:jc w:val="both"/>
        <w:rPr>
          <w:szCs w:val="24"/>
          <w:lang w:val="en-GB"/>
        </w:rPr>
      </w:pPr>
      <w:r w:rsidRPr="00FD05C3">
        <w:rPr>
          <w:szCs w:val="24"/>
          <w:lang w:val="en-GB"/>
        </w:rPr>
        <w:t>The methodology of recurrent checks irrespective of any instant credit transfers undertaken</w:t>
      </w:r>
      <w:r>
        <w:rPr>
          <w:szCs w:val="24"/>
          <w:lang w:val="en-GB"/>
        </w:rPr>
        <w:t xml:space="preserve"> by the users concerned is further explained in Recitals 14 and 15 and does not raise </w:t>
      </w:r>
      <w:r w:rsidR="001B4322">
        <w:rPr>
          <w:szCs w:val="24"/>
          <w:lang w:val="en-GB"/>
        </w:rPr>
        <w:t xml:space="preserve">particular data protection </w:t>
      </w:r>
      <w:r>
        <w:rPr>
          <w:szCs w:val="24"/>
          <w:lang w:val="en-GB"/>
        </w:rPr>
        <w:t xml:space="preserve">concerns. </w:t>
      </w:r>
      <w:r w:rsidRPr="00CB54DD">
        <w:rPr>
          <w:noProof/>
        </w:rPr>
        <w:t xml:space="preserve">To prevent the initiation of instant credit transfers from payment accounts belonging to </w:t>
      </w:r>
      <w:r>
        <w:rPr>
          <w:noProof/>
        </w:rPr>
        <w:t xml:space="preserve">listed </w:t>
      </w:r>
      <w:r w:rsidRPr="00CB54DD">
        <w:rPr>
          <w:noProof/>
        </w:rPr>
        <w:t xml:space="preserve">persons </w:t>
      </w:r>
      <w:r>
        <w:rPr>
          <w:noProof/>
        </w:rPr>
        <w:t xml:space="preserve">or entities </w:t>
      </w:r>
      <w:r w:rsidRPr="00CB54DD">
        <w:rPr>
          <w:noProof/>
        </w:rPr>
        <w:t>and to immediately freeze funds sent to such accounts</w:t>
      </w:r>
      <w:r>
        <w:rPr>
          <w:noProof/>
        </w:rPr>
        <w:t xml:space="preserve">, it is the </w:t>
      </w:r>
      <w:r w:rsidRPr="00FD05C3">
        <w:rPr>
          <w:noProof/>
        </w:rPr>
        <w:t>professional assessment</w:t>
      </w:r>
      <w:r>
        <w:rPr>
          <w:noProof/>
        </w:rPr>
        <w:t xml:space="preserve"> that short intervals of no more than a day are necessary. The EDPS has no indication to the contrary.</w:t>
      </w:r>
    </w:p>
    <w:p w14:paraId="4AB75CB5" w14:textId="73F3A100" w:rsidR="00FD05C3" w:rsidRPr="00FD05C3" w:rsidRDefault="00FD05C3" w:rsidP="00F02005">
      <w:pPr>
        <w:pStyle w:val="ListParagraph"/>
        <w:numPr>
          <w:ilvl w:val="0"/>
          <w:numId w:val="55"/>
        </w:numPr>
        <w:spacing w:before="100" w:beforeAutospacing="1"/>
        <w:jc w:val="both"/>
        <w:rPr>
          <w:szCs w:val="24"/>
          <w:lang w:val="en-GB"/>
        </w:rPr>
      </w:pPr>
      <w:r>
        <w:rPr>
          <w:noProof/>
        </w:rPr>
        <w:t xml:space="preserve">Lastly, the EDPS takes note that the Proposal would also </w:t>
      </w:r>
      <w:r w:rsidR="001B4322">
        <w:rPr>
          <w:noProof/>
        </w:rPr>
        <w:t xml:space="preserve">put </w:t>
      </w:r>
      <w:r>
        <w:rPr>
          <w:noProof/>
        </w:rPr>
        <w:t xml:space="preserve">an end to diverging practices in Member States </w:t>
      </w:r>
      <w:r w:rsidR="00F02005">
        <w:rPr>
          <w:noProof/>
        </w:rPr>
        <w:t xml:space="preserve">and install a transparent procedure to ensure that payment service providers comply with their obligations stemming from Union sanctions. </w:t>
      </w:r>
      <w:r w:rsidR="00F02005" w:rsidRPr="00F02005">
        <w:rPr>
          <w:noProof/>
        </w:rPr>
        <w:t>The EDPS welcomes this contribution to legal certainty.</w:t>
      </w:r>
    </w:p>
    <w:p w14:paraId="776C6657" w14:textId="77777777" w:rsidR="003B3AF7" w:rsidRPr="003B3AF7" w:rsidRDefault="006E00D8" w:rsidP="006E00D8">
      <w:pPr>
        <w:pStyle w:val="Heading1"/>
        <w:rPr>
          <w:rFonts w:asciiTheme="minorHAnsi" w:eastAsia="Times New Roman" w:hAnsiTheme="minorHAnsi" w:cstheme="minorHAnsi"/>
          <w:lang w:val="en-US" w:eastAsia="fr-FR"/>
        </w:rPr>
      </w:pPr>
      <w:bookmarkStart w:id="9" w:name="_Toc97887077"/>
      <w:bookmarkStart w:id="10" w:name="_Toc97887078"/>
      <w:bookmarkStart w:id="11" w:name="_Toc122022131"/>
      <w:bookmarkEnd w:id="9"/>
      <w:r w:rsidRPr="006E00D8">
        <w:rPr>
          <w:rFonts w:asciiTheme="minorHAnsi" w:hAnsiTheme="minorHAnsi" w:cstheme="minorHAnsi"/>
          <w:lang w:eastAsia="fr-FR"/>
        </w:rPr>
        <w:t>Conclusions</w:t>
      </w:r>
      <w:bookmarkEnd w:id="10"/>
      <w:bookmarkEnd w:id="11"/>
      <w:r w:rsidR="00B51CDF" w:rsidRPr="003B3AF7">
        <w:t xml:space="preserve"> </w:t>
      </w:r>
      <w:r w:rsidR="003B3AF7" w:rsidRPr="003B3AF7">
        <w:tab/>
      </w:r>
    </w:p>
    <w:p w14:paraId="149F089A" w14:textId="77777777" w:rsidR="00D07550" w:rsidRPr="00D07550" w:rsidRDefault="00B51CDF" w:rsidP="00D07550">
      <w:pPr>
        <w:pStyle w:val="ListParagraph"/>
        <w:numPr>
          <w:ilvl w:val="0"/>
          <w:numId w:val="55"/>
        </w:numPr>
        <w:spacing w:before="100" w:beforeAutospacing="1"/>
        <w:ind w:left="714" w:hanging="357"/>
        <w:jc w:val="both"/>
        <w:rPr>
          <w:szCs w:val="24"/>
          <w:lang w:val="en-GB"/>
        </w:rPr>
      </w:pPr>
      <w:r>
        <w:t xml:space="preserve">In light of the above, the EDPS </w:t>
      </w:r>
      <w:r w:rsidR="00F02005">
        <w:t xml:space="preserve">welcomes </w:t>
      </w:r>
      <w:r w:rsidR="00012A4E">
        <w:t>the measures provided for by the Proposal to verify data of a paye</w:t>
      </w:r>
      <w:r w:rsidR="00D07550">
        <w:t>e and to abstain from checking payment service users during an instant credit transfer.</w:t>
      </w:r>
    </w:p>
    <w:p w14:paraId="3419AC20" w14:textId="77777777" w:rsidR="00B51CDF" w:rsidRPr="007A3B1A" w:rsidRDefault="00D07550" w:rsidP="00D07550">
      <w:pPr>
        <w:pStyle w:val="ListParagraph"/>
        <w:numPr>
          <w:ilvl w:val="0"/>
          <w:numId w:val="55"/>
        </w:numPr>
        <w:spacing w:before="100" w:beforeAutospacing="1"/>
        <w:ind w:left="714" w:hanging="357"/>
        <w:jc w:val="both"/>
        <w:rPr>
          <w:szCs w:val="24"/>
          <w:lang w:val="en-GB"/>
        </w:rPr>
      </w:pPr>
      <w:r>
        <w:t>The compensatory regular verification with the EU sanctions lists, irrespective of a concrete transaction, does not raise any concerns.</w:t>
      </w:r>
      <w:r w:rsidR="00B51CDF">
        <w:t xml:space="preserve"> </w:t>
      </w:r>
    </w:p>
    <w:p w14:paraId="3DFBD17B" w14:textId="27180606" w:rsidR="00940DBF" w:rsidRPr="00DE4E91" w:rsidRDefault="00E363A0" w:rsidP="00C142D9">
      <w:pPr>
        <w:pStyle w:val="ListParagraph"/>
        <w:numPr>
          <w:ilvl w:val="0"/>
          <w:numId w:val="0"/>
        </w:numPr>
        <w:ind w:left="720"/>
        <w:jc w:val="both"/>
        <w:rPr>
          <w:rFonts w:cstheme="minorHAnsi"/>
          <w:lang w:val="en-GB" w:eastAsia="fr-FR"/>
        </w:rPr>
      </w:pPr>
      <w:r w:rsidRPr="00DE4E91">
        <w:rPr>
          <w:rFonts w:cstheme="minorHAnsi"/>
          <w:i/>
          <w:lang w:val="en-GB" w:eastAsia="fr-FR"/>
        </w:rPr>
        <w:t xml:space="preserve"> </w:t>
      </w:r>
    </w:p>
    <w:p w14:paraId="00A03FCB" w14:textId="0037C88B" w:rsidR="00A3612B" w:rsidRPr="00DE4E91" w:rsidRDefault="006E00D8" w:rsidP="0051656D">
      <w:pPr>
        <w:pStyle w:val="Executivesummary"/>
        <w:rPr>
          <w:rFonts w:asciiTheme="minorHAnsi" w:hAnsiTheme="minorHAnsi" w:cstheme="minorHAnsi"/>
          <w:b w:val="0"/>
          <w:color w:val="auto"/>
          <w:sz w:val="24"/>
          <w:szCs w:val="24"/>
          <w:lang w:val="en-GB"/>
        </w:rPr>
      </w:pPr>
      <w:r w:rsidRPr="00DE4E91">
        <w:rPr>
          <w:rFonts w:asciiTheme="minorHAnsi" w:hAnsiTheme="minorHAnsi" w:cstheme="minorHAnsi"/>
          <w:b w:val="0"/>
          <w:color w:val="auto"/>
          <w:sz w:val="24"/>
          <w:szCs w:val="24"/>
          <w:lang w:val="en-GB"/>
        </w:rPr>
        <w:t xml:space="preserve">Brussels, </w:t>
      </w:r>
      <w:r w:rsidR="00D07550" w:rsidRPr="00DE4E91">
        <w:rPr>
          <w:rFonts w:asciiTheme="minorHAnsi" w:hAnsiTheme="minorHAnsi" w:cstheme="minorHAnsi"/>
          <w:b w:val="0"/>
          <w:color w:val="auto"/>
          <w:sz w:val="24"/>
          <w:szCs w:val="24"/>
          <w:lang w:val="en-GB"/>
        </w:rPr>
        <w:t>1</w:t>
      </w:r>
      <w:r w:rsidR="00C142D9" w:rsidRPr="00DE4E91">
        <w:rPr>
          <w:rFonts w:asciiTheme="minorHAnsi" w:hAnsiTheme="minorHAnsi" w:cstheme="minorHAnsi"/>
          <w:b w:val="0"/>
          <w:color w:val="auto"/>
          <w:sz w:val="24"/>
          <w:szCs w:val="24"/>
          <w:lang w:val="en-GB"/>
        </w:rPr>
        <w:t>9</w:t>
      </w:r>
      <w:r w:rsidR="00D07550" w:rsidRPr="00DE4E91">
        <w:rPr>
          <w:rFonts w:asciiTheme="minorHAnsi" w:hAnsiTheme="minorHAnsi" w:cstheme="minorHAnsi"/>
          <w:b w:val="0"/>
          <w:color w:val="auto"/>
          <w:sz w:val="24"/>
          <w:szCs w:val="24"/>
          <w:lang w:val="en-GB"/>
        </w:rPr>
        <w:t xml:space="preserve"> December 2022</w:t>
      </w:r>
    </w:p>
    <w:p w14:paraId="2B4C0A75" w14:textId="77777777" w:rsidR="00C142D9" w:rsidRPr="00982432" w:rsidRDefault="00C142D9" w:rsidP="00C142D9">
      <w:pPr>
        <w:spacing w:before="0" w:after="0"/>
        <w:ind w:left="720"/>
        <w:rPr>
          <w:rFonts w:ascii="Libertinus Sans" w:eastAsia="Times New Roman" w:hAnsi="Libertinus Sans" w:cs="Libertinus Sans"/>
          <w:i/>
          <w:lang w:val="en-GB" w:eastAsia="en-GB"/>
        </w:rPr>
      </w:pPr>
      <w:r w:rsidRPr="00982432">
        <w:rPr>
          <w:rFonts w:ascii="Libertinus Sans" w:eastAsia="Times New Roman" w:hAnsi="Libertinus Sans" w:cs="Libertinus Sans"/>
          <w:i/>
          <w:lang w:val="en-GB" w:eastAsia="en-GB"/>
        </w:rPr>
        <w:t xml:space="preserve">     (e-signed)</w:t>
      </w:r>
    </w:p>
    <w:p w14:paraId="0F721965" w14:textId="10284E75" w:rsidR="00C142D9" w:rsidRPr="00982432" w:rsidRDefault="00C142D9" w:rsidP="00580FA3">
      <w:pPr>
        <w:spacing w:before="0" w:after="0"/>
        <w:rPr>
          <w:rFonts w:ascii="Libertinus Sans" w:eastAsia="Times New Roman" w:hAnsi="Libertinus Sans" w:cs="Libertinus Sans"/>
          <w:sz w:val="16"/>
          <w:szCs w:val="16"/>
          <w:lang w:val="en-GB" w:eastAsia="en-GB"/>
        </w:rPr>
      </w:pPr>
      <w:r w:rsidRPr="00982432">
        <w:rPr>
          <w:rFonts w:ascii="Libertinus Sans" w:eastAsia="Times New Roman" w:hAnsi="Libertinus Sans" w:cs="Libertinus Sans"/>
          <w:lang w:val="en-GB" w:eastAsia="en-GB"/>
        </w:rPr>
        <w:t xml:space="preserve">Wojciech Rafał </w:t>
      </w:r>
      <w:r w:rsidRPr="00982432">
        <w:rPr>
          <w:rFonts w:ascii="Libertinus Sans" w:eastAsia="Times New Roman" w:hAnsi="Libertinus Sans" w:cs="Libertinus Sans"/>
          <w:smallCaps/>
          <w:lang w:val="en-GB" w:eastAsia="en-GB"/>
        </w:rPr>
        <w:t>WIEWIÓROWSKI</w:t>
      </w:r>
    </w:p>
    <w:p w14:paraId="77FC22FC" w14:textId="6BEC7A19" w:rsidR="004C605E" w:rsidRPr="00C142D9" w:rsidRDefault="004C605E" w:rsidP="00152C58">
      <w:pPr>
        <w:pStyle w:val="Executivesummarytext"/>
        <w:rPr>
          <w:rFonts w:cstheme="minorHAnsi"/>
          <w:color w:val="auto"/>
          <w:lang w:val="en-GB"/>
        </w:rPr>
      </w:pPr>
    </w:p>
    <w:sectPr w:rsidR="004C605E" w:rsidRPr="00C142D9" w:rsidSect="00302E2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7" w:right="1134" w:bottom="1134" w:left="1134" w:header="708" w:footer="45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C7B5C" w14:textId="77777777" w:rsidR="002047FF" w:rsidRDefault="002047FF" w:rsidP="0051656D">
      <w:r>
        <w:separator/>
      </w:r>
    </w:p>
  </w:endnote>
  <w:endnote w:type="continuationSeparator" w:id="0">
    <w:p w14:paraId="4C3DFF0B" w14:textId="77777777" w:rsidR="002047FF" w:rsidRDefault="002047FF" w:rsidP="0051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tinus Sans">
    <w:panose1 w:val="00000000000000000000"/>
    <w:charset w:val="00"/>
    <w:family w:val="modern"/>
    <w:notTrueType/>
    <w:pitch w:val="variable"/>
    <w:sig w:usb0="E0000AFF" w:usb1="0200E5FB" w:usb2="01000020"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Titoli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ela Text Light">
    <w:altName w:val="Calibri"/>
    <w:panose1 w:val="00000000000000000000"/>
    <w:charset w:val="00"/>
    <w:family w:val="modern"/>
    <w:notTrueType/>
    <w:pitch w:val="variable"/>
    <w:sig w:usb0="A000002F" w:usb1="0000005A" w:usb2="00000000" w:usb3="00000000" w:csb0="00000093" w:csb1="00000000"/>
  </w:font>
  <w:font w:name="Times New Roman (Corpo CS)">
    <w:altName w:val="Times New Roman"/>
    <w:charset w:val="00"/>
    <w:family w:val="roman"/>
    <w:pitch w:val="variable"/>
    <w:sig w:usb0="00000000" w:usb1="C0007841" w:usb2="00000009" w:usb3="00000000" w:csb0="000001FF" w:csb1="00000000"/>
  </w:font>
  <w:font w:name="Libertinus Sans (Corpo)">
    <w:altName w:val="Libertinus San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9655478"/>
      <w:docPartObj>
        <w:docPartGallery w:val="Page Numbers (Bottom of Page)"/>
        <w:docPartUnique/>
      </w:docPartObj>
    </w:sdtPr>
    <w:sdtEndPr>
      <w:rPr>
        <w:rStyle w:val="PageNumber"/>
      </w:rPr>
    </w:sdtEndPr>
    <w:sdtContent>
      <w:p w14:paraId="63DA76E8" w14:textId="77777777" w:rsidR="00302E24" w:rsidRDefault="00302E24" w:rsidP="0051656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10845D" w14:textId="77777777" w:rsidR="00302E24" w:rsidRDefault="00302E24" w:rsidP="00516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1326670"/>
      <w:docPartObj>
        <w:docPartGallery w:val="Page Numbers (Bottom of Page)"/>
        <w:docPartUnique/>
      </w:docPartObj>
    </w:sdtPr>
    <w:sdtEndPr>
      <w:rPr>
        <w:rStyle w:val="PageNumber"/>
      </w:rPr>
    </w:sdtEndPr>
    <w:sdtContent>
      <w:p w14:paraId="2DCB6430" w14:textId="50BD3E9E" w:rsidR="00302E24" w:rsidRDefault="00302E24" w:rsidP="0051656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86823">
          <w:rPr>
            <w:rStyle w:val="PageNumber"/>
            <w:noProof/>
          </w:rPr>
          <w:t>3</w:t>
        </w:r>
        <w:r>
          <w:rPr>
            <w:rStyle w:val="PageNumber"/>
          </w:rPr>
          <w:fldChar w:fldCharType="end"/>
        </w:r>
      </w:p>
    </w:sdtContent>
  </w:sdt>
  <w:p w14:paraId="6ECF5682" w14:textId="77777777" w:rsidR="00302E24" w:rsidRDefault="00302E24" w:rsidP="00516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1EF5" w14:textId="77777777" w:rsidR="00E50C13" w:rsidRDefault="00E50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D3BDE" w14:textId="77777777" w:rsidR="002047FF" w:rsidRDefault="002047FF" w:rsidP="0051656D">
      <w:r>
        <w:separator/>
      </w:r>
    </w:p>
  </w:footnote>
  <w:footnote w:type="continuationSeparator" w:id="0">
    <w:p w14:paraId="70200D95" w14:textId="77777777" w:rsidR="002047FF" w:rsidRDefault="002047FF" w:rsidP="0051656D">
      <w:r>
        <w:continuationSeparator/>
      </w:r>
    </w:p>
  </w:footnote>
  <w:footnote w:id="1">
    <w:p w14:paraId="5C50C822" w14:textId="77777777" w:rsidR="00455CC5" w:rsidRPr="00D30F7B" w:rsidRDefault="00455CC5">
      <w:pPr>
        <w:pStyle w:val="FootnoteText"/>
        <w:rPr>
          <w:rFonts w:ascii="Libertinus Sans" w:hAnsi="Libertinus Sans" w:cs="Libertinus Sans"/>
          <w:i w:val="0"/>
          <w:color w:val="auto"/>
          <w:lang w:val="en-GB"/>
        </w:rPr>
      </w:pPr>
      <w:r w:rsidRPr="00D30F7B">
        <w:rPr>
          <w:rStyle w:val="FootnoteReference"/>
          <w:rFonts w:ascii="Libertinus Sans" w:hAnsi="Libertinus Sans" w:cs="Libertinus Sans"/>
          <w:i w:val="0"/>
          <w:color w:val="auto"/>
        </w:rPr>
        <w:footnoteRef/>
      </w:r>
      <w:r w:rsidRPr="00D30F7B">
        <w:rPr>
          <w:rFonts w:ascii="Libertinus Sans" w:hAnsi="Libertinus Sans" w:cs="Libertinus Sans"/>
          <w:i w:val="0"/>
          <w:color w:val="auto"/>
        </w:rPr>
        <w:t xml:space="preserve"> </w:t>
      </w:r>
      <w:r w:rsidRPr="00D30F7B">
        <w:rPr>
          <w:rFonts w:ascii="Libertinus Sans" w:hAnsi="Libertinus Sans" w:cs="Libertinus Sans"/>
          <w:i w:val="0"/>
          <w:color w:val="auto"/>
          <w:lang w:val="en-GB"/>
        </w:rPr>
        <w:t>OJ L 295, 21.11.2018, p. 39.</w:t>
      </w:r>
    </w:p>
  </w:footnote>
  <w:footnote w:id="2">
    <w:p w14:paraId="221AA463" w14:textId="77777777" w:rsidR="00CE7B5B" w:rsidRPr="00D30F7B" w:rsidRDefault="00CE7B5B" w:rsidP="00CE7B5B">
      <w:pPr>
        <w:pStyle w:val="FootnoteText"/>
        <w:rPr>
          <w:rFonts w:ascii="Libertinus Sans" w:hAnsi="Libertinus Sans" w:cs="Libertinus Sans"/>
          <w:i w:val="0"/>
          <w:color w:val="auto"/>
          <w:lang w:val="en-GB"/>
        </w:rPr>
      </w:pPr>
      <w:r w:rsidRPr="00D30F7B">
        <w:rPr>
          <w:rStyle w:val="FootnoteReference"/>
          <w:rFonts w:ascii="Libertinus Sans" w:hAnsi="Libertinus Sans" w:cs="Libertinus Sans"/>
          <w:i w:val="0"/>
          <w:color w:val="auto"/>
        </w:rPr>
        <w:footnoteRef/>
      </w:r>
      <w:r w:rsidRPr="00D30F7B">
        <w:rPr>
          <w:rFonts w:ascii="Libertinus Sans" w:hAnsi="Libertinus Sans" w:cs="Libertinus Sans"/>
        </w:rPr>
        <w:t xml:space="preserve"> </w:t>
      </w:r>
      <w:r w:rsidRPr="00D30F7B">
        <w:rPr>
          <w:rFonts w:ascii="Libertinus Sans" w:hAnsi="Libertinus Sans" w:cs="Libertinus Sans"/>
          <w:i w:val="0"/>
          <w:color w:val="auto"/>
          <w:lang w:val="en-GB"/>
        </w:rPr>
        <w:t>Directive (EU) 2015/2366 of the European Parliament and of the Council of 25 November 2015 on payment services in the internal market.</w:t>
      </w:r>
    </w:p>
  </w:footnote>
  <w:footnote w:id="3">
    <w:p w14:paraId="732120E2" w14:textId="77777777" w:rsidR="00CE7B5B" w:rsidRPr="00D30F7B" w:rsidRDefault="00CE7B5B" w:rsidP="00CE7B5B">
      <w:pPr>
        <w:pStyle w:val="FootnoteText"/>
        <w:rPr>
          <w:rFonts w:ascii="Libertinus Sans" w:hAnsi="Libertinus Sans" w:cs="Libertinus Sans"/>
          <w:i w:val="0"/>
          <w:color w:val="auto"/>
          <w:lang w:val="en-GB"/>
        </w:rPr>
      </w:pPr>
      <w:r w:rsidRPr="00D30F7B">
        <w:rPr>
          <w:rStyle w:val="FootnoteReference"/>
          <w:rFonts w:ascii="Libertinus Sans" w:hAnsi="Libertinus Sans" w:cs="Libertinus Sans"/>
          <w:i w:val="0"/>
          <w:color w:val="auto"/>
        </w:rPr>
        <w:footnoteRef/>
      </w:r>
      <w:r w:rsidRPr="00D30F7B">
        <w:rPr>
          <w:rStyle w:val="FootnoteReference"/>
          <w:rFonts w:ascii="Libertinus Sans" w:hAnsi="Libertinus Sans" w:cs="Libertinus Sans"/>
          <w:i w:val="0"/>
          <w:color w:val="auto"/>
        </w:rPr>
        <w:t xml:space="preserve"> </w:t>
      </w:r>
      <w:r w:rsidRPr="00D30F7B">
        <w:rPr>
          <w:rFonts w:ascii="Libertinus Sans" w:hAnsi="Libertinus Sans" w:cs="Libertinus Sans"/>
          <w:i w:val="0"/>
          <w:color w:val="auto"/>
          <w:lang w:val="en-GB"/>
        </w:rPr>
        <w:t>Regulation (EU) 2021/1230 of the European Parliament and of the Council of 14 July 2021 on cross-border payments in the Union (codification).</w:t>
      </w:r>
    </w:p>
  </w:footnote>
  <w:footnote w:id="4">
    <w:p w14:paraId="58F783C6" w14:textId="77777777" w:rsidR="00252456" w:rsidRPr="00D30F7B" w:rsidRDefault="00252456">
      <w:pPr>
        <w:pStyle w:val="FootnoteText"/>
        <w:rPr>
          <w:rFonts w:ascii="Libertinus Sans" w:hAnsi="Libertinus Sans" w:cs="Libertinus Sans"/>
          <w:i w:val="0"/>
        </w:rPr>
      </w:pPr>
      <w:r w:rsidRPr="00D30F7B">
        <w:rPr>
          <w:rStyle w:val="FootnoteReference"/>
          <w:rFonts w:ascii="Libertinus Sans" w:hAnsi="Libertinus Sans" w:cs="Libertinus Sans"/>
          <w:i w:val="0"/>
          <w:color w:val="auto"/>
        </w:rPr>
        <w:footnoteRef/>
      </w:r>
      <w:r w:rsidRPr="00D30F7B">
        <w:rPr>
          <w:rFonts w:ascii="Libertinus Sans" w:hAnsi="Libertinus Sans" w:cs="Libertinus Sans"/>
          <w:i w:val="0"/>
          <w:color w:val="auto"/>
        </w:rPr>
        <w:t xml:space="preserve"> Regulation (EU) No 260/2012 of the European Parliament and of the Council of 14 March 2012 establishing technical and business requirements for credit transfers and direct debits in euro.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3607" w14:textId="77777777" w:rsidR="00E50C13" w:rsidRDefault="00E50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F84CB" w14:textId="77777777" w:rsidR="00E50C13" w:rsidRDefault="00E50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C92F" w14:textId="77777777" w:rsidR="00E50C13" w:rsidRDefault="00E50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464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1E11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FE94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062B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AA97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4A9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FC6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AC8E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45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B8D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025E"/>
    <w:multiLevelType w:val="multilevel"/>
    <w:tmpl w:val="AFBE7FC8"/>
    <w:lvl w:ilvl="0">
      <w:start w:val="1"/>
      <w:numFmt w:val="decimal"/>
      <w:pStyle w:val="ListParagraph"/>
      <w:lvlText w:val="%1."/>
      <w:lvlJc w:val="left"/>
      <w:pPr>
        <w:ind w:left="587" w:hanging="360"/>
      </w:pPr>
      <w:rPr>
        <w:rFonts w:ascii="Libertinus Sans" w:hAnsi="Libertinus Sans" w:hint="default"/>
        <w:color w:val="000000" w:themeColor="text1"/>
      </w:rPr>
    </w:lvl>
    <w:lvl w:ilvl="1">
      <w:start w:val="1"/>
      <w:numFmt w:val="decimal"/>
      <w:lvlText w:val="%1.%2."/>
      <w:lvlJc w:val="left"/>
      <w:pPr>
        <w:ind w:left="1149" w:hanging="432"/>
      </w:pPr>
      <w:rPr>
        <w:rFonts w:hint="default"/>
        <w:color w:val="4F5357" w:themeColor="accent4"/>
      </w:rPr>
    </w:lvl>
    <w:lvl w:ilvl="2">
      <w:start w:val="1"/>
      <w:numFmt w:val="decimal"/>
      <w:lvlText w:val="%1.%2.%3."/>
      <w:lvlJc w:val="left"/>
      <w:pPr>
        <w:ind w:left="1077" w:firstLine="0"/>
      </w:pPr>
      <w:rPr>
        <w:rFonts w:hint="default"/>
        <w:color w:val="E7E6E6" w:themeColor="background2"/>
      </w:rPr>
    </w:lvl>
    <w:lvl w:ilvl="3">
      <w:start w:val="1"/>
      <w:numFmt w:val="decimal"/>
      <w:lvlText w:val="%1.%2.%3.%4."/>
      <w:lvlJc w:val="left"/>
      <w:pPr>
        <w:ind w:left="2085" w:hanging="648"/>
      </w:pPr>
      <w:rPr>
        <w:rFonts w:hint="default"/>
        <w:color w:val="E1876F" w:themeColor="accent5"/>
      </w:rPr>
    </w:lvl>
    <w:lvl w:ilvl="4">
      <w:start w:val="1"/>
      <w:numFmt w:val="decimal"/>
      <w:lvlText w:val="%1.%2.%3.%4.%5."/>
      <w:lvlJc w:val="left"/>
      <w:pPr>
        <w:ind w:left="2589" w:hanging="792"/>
      </w:pPr>
      <w:rPr>
        <w:rFonts w:hint="default"/>
        <w:color w:val="624292"/>
      </w:rPr>
    </w:lvl>
    <w:lvl w:ilvl="5">
      <w:start w:val="1"/>
      <w:numFmt w:val="decimal"/>
      <w:lvlText w:val="%1.%2.%3.%4.%5.%6."/>
      <w:lvlJc w:val="left"/>
      <w:pPr>
        <w:ind w:left="3093" w:hanging="936"/>
      </w:pPr>
      <w:rPr>
        <w:rFonts w:hint="default"/>
        <w:color w:val="7E939C" w:themeColor="accent6"/>
      </w:rPr>
    </w:lvl>
    <w:lvl w:ilvl="6">
      <w:start w:val="1"/>
      <w:numFmt w:val="decimal"/>
      <w:lvlText w:val="%1.%2.%3.%4.%5.%6.%7."/>
      <w:lvlJc w:val="left"/>
      <w:pPr>
        <w:ind w:left="3597" w:hanging="1080"/>
      </w:pPr>
      <w:rPr>
        <w:rFonts w:hint="default"/>
        <w:color w:val="234B98" w:themeColor="accent1"/>
      </w:rPr>
    </w:lvl>
    <w:lvl w:ilvl="7">
      <w:start w:val="1"/>
      <w:numFmt w:val="decimal"/>
      <w:lvlText w:val="%1.%2.%3.%4.%5.%6.%7.%8."/>
      <w:lvlJc w:val="left"/>
      <w:pPr>
        <w:ind w:left="4101" w:hanging="1224"/>
      </w:pPr>
      <w:rPr>
        <w:rFonts w:hint="default"/>
        <w:color w:val="F1C065" w:themeColor="accent2"/>
      </w:rPr>
    </w:lvl>
    <w:lvl w:ilvl="8">
      <w:start w:val="1"/>
      <w:numFmt w:val="decimal"/>
      <w:lvlText w:val="%1.%2.%3.%4.%5.%6.%7.%8.%9."/>
      <w:lvlJc w:val="left"/>
      <w:pPr>
        <w:ind w:left="4677" w:hanging="1440"/>
      </w:pPr>
      <w:rPr>
        <w:rFonts w:hint="default"/>
      </w:rPr>
    </w:lvl>
  </w:abstractNum>
  <w:abstractNum w:abstractNumId="11" w15:restartNumberingAfterBreak="0">
    <w:nsid w:val="02D71A2E"/>
    <w:multiLevelType w:val="multilevel"/>
    <w:tmpl w:val="CB04F7D2"/>
    <w:lvl w:ilvl="0">
      <w:start w:val="1"/>
      <w:numFmt w:val="decimal"/>
      <w:lvlText w:val="%1."/>
      <w:lvlJc w:val="left"/>
      <w:pPr>
        <w:ind w:left="397" w:hanging="397"/>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344048A"/>
    <w:multiLevelType w:val="multilevel"/>
    <w:tmpl w:val="FC2E01E4"/>
    <w:lvl w:ilvl="0">
      <w:start w:val="1"/>
      <w:numFmt w:val="decimal"/>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E833C3"/>
    <w:multiLevelType w:val="multilevel"/>
    <w:tmpl w:val="31AE2558"/>
    <w:lvl w:ilvl="0">
      <w:start w:val="1"/>
      <w:numFmt w:val="decimal"/>
      <w:lvlText w:val="%1."/>
      <w:lvlJc w:val="left"/>
      <w:pPr>
        <w:ind w:left="-323" w:hanging="397"/>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4" w15:restartNumberingAfterBreak="0">
    <w:nsid w:val="0A383A2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E4BBB"/>
    <w:multiLevelType w:val="multilevel"/>
    <w:tmpl w:val="E5B4CD70"/>
    <w:lvl w:ilvl="0">
      <w:start w:val="1"/>
      <w:numFmt w:val="decimal"/>
      <w:lvlText w:val="%1."/>
      <w:lvlJc w:val="left"/>
      <w:pPr>
        <w:ind w:left="-323" w:hanging="397"/>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6" w15:restartNumberingAfterBreak="0">
    <w:nsid w:val="0DB219D2"/>
    <w:multiLevelType w:val="hybridMultilevel"/>
    <w:tmpl w:val="EEC23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07A54CF"/>
    <w:multiLevelType w:val="hybridMultilevel"/>
    <w:tmpl w:val="9036D9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1326DD0"/>
    <w:multiLevelType w:val="multilevel"/>
    <w:tmpl w:val="E18072AE"/>
    <w:lvl w:ilvl="0">
      <w:start w:val="1"/>
      <w:numFmt w:val="decimal"/>
      <w:pStyle w:val="Heading1"/>
      <w:suff w:val="space"/>
      <w:lvlText w:val="%1."/>
      <w:lvlJc w:val="left"/>
      <w:pPr>
        <w:ind w:left="-1043" w:hanging="397"/>
      </w:pPr>
      <w:rPr>
        <w:rFonts w:hint="default"/>
      </w:rPr>
    </w:lvl>
    <w:lvl w:ilvl="1">
      <w:start w:val="1"/>
      <w:numFmt w:val="decimal"/>
      <w:pStyle w:val="Heading2"/>
      <w:lvlText w:val="%1.%2."/>
      <w:lvlJc w:val="left"/>
      <w:pPr>
        <w:ind w:left="-648" w:hanging="432"/>
      </w:pPr>
      <w:rPr>
        <w:rFonts w:hint="default"/>
      </w:rPr>
    </w:lvl>
    <w:lvl w:ilvl="2">
      <w:start w:val="1"/>
      <w:numFmt w:val="decimal"/>
      <w:pStyle w:val="Heading3"/>
      <w:suff w:val="space"/>
      <w:lvlText w:val="%1.%2.%3."/>
      <w:lvlJc w:val="left"/>
      <w:pPr>
        <w:ind w:left="-720" w:firstLine="0"/>
      </w:pPr>
      <w:rPr>
        <w:rFonts w:hint="default"/>
      </w:rPr>
    </w:lvl>
    <w:lvl w:ilvl="3">
      <w:start w:val="1"/>
      <w:numFmt w:val="decimal"/>
      <w:pStyle w:val="Heading4"/>
      <w:suff w:val="space"/>
      <w:lvlText w:val="%1.%2.%3.%4."/>
      <w:lvlJc w:val="left"/>
      <w:pPr>
        <w:ind w:left="288" w:hanging="648"/>
      </w:pPr>
      <w:rPr>
        <w:rFonts w:hint="default"/>
      </w:rPr>
    </w:lvl>
    <w:lvl w:ilvl="4">
      <w:start w:val="1"/>
      <w:numFmt w:val="decimal"/>
      <w:pStyle w:val="Heading5"/>
      <w:suff w:val="space"/>
      <w:lvlText w:val="%1.%2.%3.%4.%5."/>
      <w:lvlJc w:val="left"/>
      <w:pPr>
        <w:ind w:left="792" w:hanging="792"/>
      </w:pPr>
      <w:rPr>
        <w:rFonts w:hint="default"/>
        <w:color w:val="234B98" w:themeColor="accent1"/>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13C34E3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42F7FD2"/>
    <w:multiLevelType w:val="multilevel"/>
    <w:tmpl w:val="668A47D4"/>
    <w:lvl w:ilvl="0">
      <w:start w:val="1"/>
      <w:numFmt w:val="decimal"/>
      <w:suff w:val="space"/>
      <w:lvlText w:val="%1."/>
      <w:lvlJc w:val="left"/>
      <w:pPr>
        <w:ind w:left="-683" w:hanging="397"/>
      </w:pPr>
      <w:rPr>
        <w:rFonts w:hint="default"/>
      </w:rPr>
    </w:lvl>
    <w:lvl w:ilvl="1">
      <w:start w:val="1"/>
      <w:numFmt w:val="decimal"/>
      <w:lvlText w:val="%1.%2."/>
      <w:lvlJc w:val="left"/>
      <w:pPr>
        <w:ind w:left="-288" w:hanging="432"/>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648" w:hanging="648"/>
      </w:pPr>
      <w:rPr>
        <w:rFonts w:hint="default"/>
      </w:rPr>
    </w:lvl>
    <w:lvl w:ilvl="4">
      <w:start w:val="1"/>
      <w:numFmt w:val="decimal"/>
      <w:suff w:val="space"/>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1" w15:restartNumberingAfterBreak="0">
    <w:nsid w:val="16131581"/>
    <w:multiLevelType w:val="multilevel"/>
    <w:tmpl w:val="6FA0BB26"/>
    <w:lvl w:ilvl="0">
      <w:start w:val="1"/>
      <w:numFmt w:val="decimal"/>
      <w:lvlText w:val="%1."/>
      <w:lvlJc w:val="left"/>
      <w:pPr>
        <w:ind w:left="587" w:hanging="360"/>
      </w:pPr>
      <w:rPr>
        <w:rFonts w:hint="default"/>
        <w:color w:val="E9E3DA" w:themeColor="accent3"/>
      </w:rPr>
    </w:lvl>
    <w:lvl w:ilvl="1">
      <w:start w:val="1"/>
      <w:numFmt w:val="decimal"/>
      <w:lvlText w:val="%1.%2."/>
      <w:lvlJc w:val="left"/>
      <w:pPr>
        <w:ind w:left="1149" w:hanging="432"/>
      </w:pPr>
      <w:rPr>
        <w:rFonts w:hint="default"/>
        <w:color w:val="4F5357" w:themeColor="accent4"/>
      </w:rPr>
    </w:lvl>
    <w:lvl w:ilvl="2">
      <w:start w:val="1"/>
      <w:numFmt w:val="decimal"/>
      <w:lvlText w:val="%1.%2.%3."/>
      <w:lvlJc w:val="left"/>
      <w:pPr>
        <w:ind w:left="1077" w:firstLine="0"/>
      </w:pPr>
      <w:rPr>
        <w:rFonts w:hint="default"/>
        <w:color w:val="E7E6E6" w:themeColor="background2"/>
      </w:rPr>
    </w:lvl>
    <w:lvl w:ilvl="3">
      <w:start w:val="1"/>
      <w:numFmt w:val="decimal"/>
      <w:lvlText w:val="%1.%2.%3.%4."/>
      <w:lvlJc w:val="left"/>
      <w:pPr>
        <w:ind w:left="2085" w:hanging="648"/>
      </w:pPr>
      <w:rPr>
        <w:rFonts w:hint="default"/>
        <w:color w:val="E1876F" w:themeColor="accent5"/>
      </w:rPr>
    </w:lvl>
    <w:lvl w:ilvl="4">
      <w:start w:val="1"/>
      <w:numFmt w:val="decimal"/>
      <w:lvlText w:val="%1.%2.%3.%4.%5."/>
      <w:lvlJc w:val="left"/>
      <w:pPr>
        <w:ind w:left="2589" w:hanging="792"/>
      </w:pPr>
      <w:rPr>
        <w:rFonts w:hint="default"/>
        <w:color w:val="624292"/>
      </w:rPr>
    </w:lvl>
    <w:lvl w:ilvl="5">
      <w:start w:val="1"/>
      <w:numFmt w:val="decimal"/>
      <w:lvlText w:val="%1.%2.%3.%4.%5.%6."/>
      <w:lvlJc w:val="left"/>
      <w:pPr>
        <w:ind w:left="3093" w:hanging="936"/>
      </w:pPr>
      <w:rPr>
        <w:rFonts w:hint="default"/>
        <w:color w:val="7E939C" w:themeColor="accent6"/>
      </w:rPr>
    </w:lvl>
    <w:lvl w:ilvl="6">
      <w:start w:val="1"/>
      <w:numFmt w:val="decimal"/>
      <w:lvlText w:val="%1.%2.%3.%4.%5.%6.%7."/>
      <w:lvlJc w:val="left"/>
      <w:pPr>
        <w:ind w:left="3597" w:hanging="1080"/>
      </w:pPr>
      <w:rPr>
        <w:rFonts w:hint="default"/>
        <w:color w:val="234B98" w:themeColor="accent1"/>
      </w:rPr>
    </w:lvl>
    <w:lvl w:ilvl="7">
      <w:start w:val="1"/>
      <w:numFmt w:val="decimal"/>
      <w:lvlText w:val="%1.%2.%3.%4.%5.%6.%7.%8."/>
      <w:lvlJc w:val="left"/>
      <w:pPr>
        <w:ind w:left="4101" w:hanging="1224"/>
      </w:pPr>
      <w:rPr>
        <w:rFonts w:hint="default"/>
        <w:color w:val="F1C065" w:themeColor="accent2"/>
      </w:rPr>
    </w:lvl>
    <w:lvl w:ilvl="8">
      <w:start w:val="1"/>
      <w:numFmt w:val="decimal"/>
      <w:lvlText w:val="%1.%2.%3.%4.%5.%6.%7.%8.%9."/>
      <w:lvlJc w:val="left"/>
      <w:pPr>
        <w:ind w:left="4677" w:hanging="1440"/>
      </w:pPr>
      <w:rPr>
        <w:rFonts w:hint="default"/>
      </w:rPr>
    </w:lvl>
  </w:abstractNum>
  <w:abstractNum w:abstractNumId="22" w15:restartNumberingAfterBreak="0">
    <w:nsid w:val="174D0F83"/>
    <w:multiLevelType w:val="multilevel"/>
    <w:tmpl w:val="12CC586C"/>
    <w:lvl w:ilvl="0">
      <w:start w:val="1"/>
      <w:numFmt w:val="decimal"/>
      <w:lvlText w:val="%1."/>
      <w:lvlJc w:val="left"/>
      <w:pPr>
        <w:ind w:left="397" w:hanging="397"/>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A5A2316"/>
    <w:multiLevelType w:val="hybridMultilevel"/>
    <w:tmpl w:val="7588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452D0D"/>
    <w:multiLevelType w:val="hybridMultilevel"/>
    <w:tmpl w:val="EADA6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666E3C"/>
    <w:multiLevelType w:val="multilevel"/>
    <w:tmpl w:val="5CC09004"/>
    <w:lvl w:ilvl="0">
      <w:start w:val="1"/>
      <w:numFmt w:val="decimal"/>
      <w:lvlText w:val="%1."/>
      <w:lvlJc w:val="left"/>
      <w:pPr>
        <w:ind w:left="-323" w:hanging="397"/>
      </w:pPr>
      <w:rPr>
        <w:rFonts w:hint="default"/>
      </w:rPr>
    </w:lvl>
    <w:lvl w:ilvl="1">
      <w:start w:val="1"/>
      <w:numFmt w:val="decimal"/>
      <w:lvlText w:val="%1.%2."/>
      <w:lvlJc w:val="left"/>
      <w:pPr>
        <w:ind w:left="72" w:hanging="432"/>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6" w15:restartNumberingAfterBreak="0">
    <w:nsid w:val="25C40633"/>
    <w:multiLevelType w:val="hybridMultilevel"/>
    <w:tmpl w:val="D9C4BA94"/>
    <w:lvl w:ilvl="0" w:tplc="490E0BA4">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27B754B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9862C9"/>
    <w:multiLevelType w:val="hybridMultilevel"/>
    <w:tmpl w:val="EB7EF3C4"/>
    <w:lvl w:ilvl="0" w:tplc="9DF2D14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143D6C"/>
    <w:multiLevelType w:val="multilevel"/>
    <w:tmpl w:val="BD0A99FA"/>
    <w:lvl w:ilvl="0">
      <w:start w:val="1"/>
      <w:numFmt w:val="decimal"/>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0DC2CF9"/>
    <w:multiLevelType w:val="hybridMultilevel"/>
    <w:tmpl w:val="FA122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75154F"/>
    <w:multiLevelType w:val="multilevel"/>
    <w:tmpl w:val="20C2F97A"/>
    <w:lvl w:ilvl="0">
      <w:start w:val="1"/>
      <w:numFmt w:val="decimal"/>
      <w:lvlText w:val="%1."/>
      <w:lvlJc w:val="left"/>
      <w:pPr>
        <w:ind w:left="-323" w:hanging="397"/>
      </w:pPr>
      <w:rPr>
        <w:rFonts w:hint="default"/>
      </w:rPr>
    </w:lvl>
    <w:lvl w:ilvl="1">
      <w:start w:val="1"/>
      <w:numFmt w:val="decimal"/>
      <w:lvlText w:val="%1.%2."/>
      <w:lvlJc w:val="left"/>
      <w:pPr>
        <w:ind w:left="72" w:hanging="432"/>
      </w:pPr>
      <w:rPr>
        <w:rFonts w:hint="default"/>
      </w:rPr>
    </w:lvl>
    <w:lvl w:ilvl="2">
      <w:start w:val="1"/>
      <w:numFmt w:val="decimal"/>
      <w:suff w:val="nothing"/>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2" w15:restartNumberingAfterBreak="0">
    <w:nsid w:val="3C814E8F"/>
    <w:multiLevelType w:val="hybridMultilevel"/>
    <w:tmpl w:val="F9CCA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987C8A"/>
    <w:multiLevelType w:val="hybridMultilevel"/>
    <w:tmpl w:val="A29CDE22"/>
    <w:lvl w:ilvl="0" w:tplc="D2D037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BF3735"/>
    <w:multiLevelType w:val="multilevel"/>
    <w:tmpl w:val="F3E8D502"/>
    <w:lvl w:ilvl="0">
      <w:start w:val="1"/>
      <w:numFmt w:val="decimal"/>
      <w:lvlText w:val="%1."/>
      <w:lvlJc w:val="left"/>
      <w:pPr>
        <w:ind w:left="754" w:hanging="397"/>
      </w:pPr>
      <w:rPr>
        <w:rFonts w:hint="default"/>
        <w:color w:val="E9E3DA" w:themeColor="accent3"/>
      </w:rPr>
    </w:lvl>
    <w:lvl w:ilvl="1">
      <w:start w:val="1"/>
      <w:numFmt w:val="decimal"/>
      <w:lvlText w:val="%1.%2."/>
      <w:lvlJc w:val="left"/>
      <w:pPr>
        <w:ind w:left="1149" w:hanging="432"/>
      </w:pPr>
      <w:rPr>
        <w:rFonts w:hint="default"/>
        <w:color w:val="4F5357" w:themeColor="accent4"/>
      </w:rPr>
    </w:lvl>
    <w:lvl w:ilvl="2">
      <w:start w:val="1"/>
      <w:numFmt w:val="decimal"/>
      <w:lvlText w:val="%1.%2.%3."/>
      <w:lvlJc w:val="left"/>
      <w:pPr>
        <w:ind w:left="1077" w:firstLine="0"/>
      </w:pPr>
      <w:rPr>
        <w:rFonts w:hint="default"/>
        <w:color w:val="E7E6E6" w:themeColor="background2"/>
      </w:rPr>
    </w:lvl>
    <w:lvl w:ilvl="3">
      <w:start w:val="1"/>
      <w:numFmt w:val="decimal"/>
      <w:lvlText w:val="%1.%2.%3.%4."/>
      <w:lvlJc w:val="left"/>
      <w:pPr>
        <w:ind w:left="2085" w:hanging="648"/>
      </w:pPr>
      <w:rPr>
        <w:rFonts w:hint="default"/>
        <w:color w:val="E1876F" w:themeColor="accent5"/>
      </w:rPr>
    </w:lvl>
    <w:lvl w:ilvl="4">
      <w:start w:val="1"/>
      <w:numFmt w:val="decimal"/>
      <w:lvlText w:val="%1.%2.%3.%4.%5."/>
      <w:lvlJc w:val="left"/>
      <w:pPr>
        <w:ind w:left="2589" w:hanging="792"/>
      </w:pPr>
      <w:rPr>
        <w:rFonts w:hint="default"/>
        <w:color w:val="624292"/>
      </w:rPr>
    </w:lvl>
    <w:lvl w:ilvl="5">
      <w:start w:val="1"/>
      <w:numFmt w:val="decimal"/>
      <w:lvlText w:val="%1.%2.%3.%4.%5.%6."/>
      <w:lvlJc w:val="left"/>
      <w:pPr>
        <w:ind w:left="3093" w:hanging="936"/>
      </w:pPr>
      <w:rPr>
        <w:rFonts w:hint="default"/>
        <w:color w:val="7E939C" w:themeColor="accent6"/>
      </w:rPr>
    </w:lvl>
    <w:lvl w:ilvl="6">
      <w:start w:val="1"/>
      <w:numFmt w:val="decimal"/>
      <w:lvlText w:val="%1.%2.%3.%4.%5.%6.%7."/>
      <w:lvlJc w:val="left"/>
      <w:pPr>
        <w:ind w:left="3597" w:hanging="1080"/>
      </w:pPr>
      <w:rPr>
        <w:rFonts w:hint="default"/>
        <w:color w:val="234B98" w:themeColor="accent1"/>
      </w:rPr>
    </w:lvl>
    <w:lvl w:ilvl="7">
      <w:start w:val="1"/>
      <w:numFmt w:val="decimal"/>
      <w:lvlText w:val="%1.%2.%3.%4.%5.%6.%7.%8."/>
      <w:lvlJc w:val="left"/>
      <w:pPr>
        <w:ind w:left="4101" w:hanging="1224"/>
      </w:pPr>
      <w:rPr>
        <w:rFonts w:hint="default"/>
        <w:color w:val="F1C065" w:themeColor="accent2"/>
      </w:rPr>
    </w:lvl>
    <w:lvl w:ilvl="8">
      <w:start w:val="1"/>
      <w:numFmt w:val="decimal"/>
      <w:lvlText w:val="%1.%2.%3.%4.%5.%6.%7.%8.%9."/>
      <w:lvlJc w:val="left"/>
      <w:pPr>
        <w:ind w:left="4677" w:hanging="1440"/>
      </w:pPr>
      <w:rPr>
        <w:rFonts w:hint="default"/>
      </w:rPr>
    </w:lvl>
  </w:abstractNum>
  <w:abstractNum w:abstractNumId="35" w15:restartNumberingAfterBreak="0">
    <w:nsid w:val="45201B6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1178D5"/>
    <w:multiLevelType w:val="hybridMultilevel"/>
    <w:tmpl w:val="90E8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F00DEA"/>
    <w:multiLevelType w:val="multilevel"/>
    <w:tmpl w:val="6BB808BA"/>
    <w:lvl w:ilvl="0">
      <w:start w:val="1"/>
      <w:numFmt w:val="decimal"/>
      <w:lvlText w:val="%1."/>
      <w:lvlJc w:val="left"/>
      <w:pPr>
        <w:ind w:left="37" w:hanging="397"/>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8" w15:restartNumberingAfterBreak="0">
    <w:nsid w:val="583C4BD3"/>
    <w:multiLevelType w:val="multilevel"/>
    <w:tmpl w:val="030EAE86"/>
    <w:lvl w:ilvl="0">
      <w:start w:val="1"/>
      <w:numFmt w:val="decimal"/>
      <w:lvlText w:val="%1."/>
      <w:lvlJc w:val="left"/>
      <w:pPr>
        <w:ind w:left="-323" w:hanging="397"/>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9" w15:restartNumberingAfterBreak="0">
    <w:nsid w:val="5C0E45FC"/>
    <w:multiLevelType w:val="multilevel"/>
    <w:tmpl w:val="1E1A3E3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color w:val="E9E3DA" w:themeColor="accent3"/>
      </w:rPr>
    </w:lvl>
    <w:lvl w:ilvl="2">
      <w:start w:val="1"/>
      <w:numFmt w:val="bullet"/>
      <w:lvlText w:val=""/>
      <w:lvlJc w:val="left"/>
      <w:pPr>
        <w:ind w:left="2160" w:hanging="360"/>
      </w:pPr>
      <w:rPr>
        <w:rFonts w:ascii="Wingdings" w:hAnsi="Wingdings" w:hint="default"/>
        <w:color w:val="E9E3DA"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7226E6"/>
    <w:multiLevelType w:val="hybridMultilevel"/>
    <w:tmpl w:val="E910A3DC"/>
    <w:lvl w:ilvl="0" w:tplc="CA50189E">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C9100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F13192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F9E7D4F"/>
    <w:multiLevelType w:val="hybridMultilevel"/>
    <w:tmpl w:val="16668442"/>
    <w:lvl w:ilvl="0" w:tplc="4464435A">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672D73"/>
    <w:multiLevelType w:val="multilevel"/>
    <w:tmpl w:val="5754C9D0"/>
    <w:lvl w:ilvl="0">
      <w:start w:val="1"/>
      <w:numFmt w:val="decimal"/>
      <w:lvlText w:val="%1."/>
      <w:lvlJc w:val="left"/>
      <w:pPr>
        <w:ind w:left="397" w:hanging="397"/>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3770BA2"/>
    <w:multiLevelType w:val="multilevel"/>
    <w:tmpl w:val="0F381D08"/>
    <w:lvl w:ilvl="0">
      <w:start w:val="1"/>
      <w:numFmt w:val="decimal"/>
      <w:suff w:val="space"/>
      <w:lvlText w:val="%1."/>
      <w:lvlJc w:val="left"/>
      <w:pPr>
        <w:ind w:left="397" w:hanging="397"/>
      </w:pPr>
      <w:rPr>
        <w:rFonts w:hint="default"/>
      </w:rPr>
    </w:lvl>
    <w:lvl w:ilvl="1">
      <w:start w:val="1"/>
      <w:numFmt w:val="decimal"/>
      <w:lvlText w:val="%1.%2."/>
      <w:lvlJc w:val="left"/>
      <w:pPr>
        <w:ind w:left="3977" w:hanging="432"/>
      </w:pPr>
      <w:rPr>
        <w:rFonts w:hint="default"/>
      </w:rPr>
    </w:lvl>
    <w:lvl w:ilvl="2">
      <w:start w:val="1"/>
      <w:numFmt w:val="decimal"/>
      <w:suff w:val="space"/>
      <w:lvlText w:val="%1.%2.%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A65078"/>
    <w:multiLevelType w:val="multilevel"/>
    <w:tmpl w:val="8604BBF0"/>
    <w:lvl w:ilvl="0">
      <w:start w:val="1"/>
      <w:numFmt w:val="decimal"/>
      <w:lvlText w:val="%1."/>
      <w:lvlJc w:val="left"/>
      <w:pPr>
        <w:ind w:left="37" w:hanging="397"/>
      </w:pPr>
      <w:rPr>
        <w:rFonts w:hint="default"/>
      </w:rPr>
    </w:lvl>
    <w:lvl w:ilvl="1">
      <w:start w:val="1"/>
      <w:numFmt w:val="decimal"/>
      <w:lvlText w:val="%1.%2."/>
      <w:lvlJc w:val="left"/>
      <w:pPr>
        <w:ind w:left="432" w:hanging="432"/>
      </w:pPr>
      <w:rPr>
        <w:rFonts w:hint="default"/>
      </w:rPr>
    </w:lvl>
    <w:lvl w:ilvl="2">
      <w:start w:val="1"/>
      <w:numFmt w:val="decimal"/>
      <w:suff w:val="space"/>
      <w:lvlText w:val="%1.%2.%3."/>
      <w:lvlJc w:val="left"/>
      <w:pPr>
        <w:ind w:left="360" w:firstLine="0"/>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7" w15:restartNumberingAfterBreak="0">
    <w:nsid w:val="67FE4B30"/>
    <w:multiLevelType w:val="multilevel"/>
    <w:tmpl w:val="20C2F97A"/>
    <w:lvl w:ilvl="0">
      <w:start w:val="1"/>
      <w:numFmt w:val="decimal"/>
      <w:lvlText w:val="%1."/>
      <w:lvlJc w:val="left"/>
      <w:pPr>
        <w:ind w:left="-323" w:hanging="397"/>
      </w:pPr>
      <w:rPr>
        <w:rFonts w:hint="default"/>
      </w:rPr>
    </w:lvl>
    <w:lvl w:ilvl="1">
      <w:start w:val="1"/>
      <w:numFmt w:val="decimal"/>
      <w:lvlText w:val="%1.%2."/>
      <w:lvlJc w:val="left"/>
      <w:pPr>
        <w:ind w:left="72" w:hanging="432"/>
      </w:pPr>
      <w:rPr>
        <w:rFonts w:hint="default"/>
      </w:rPr>
    </w:lvl>
    <w:lvl w:ilvl="2">
      <w:start w:val="1"/>
      <w:numFmt w:val="decimal"/>
      <w:suff w:val="nothing"/>
      <w:lvlText w:val="%1.%2.%3."/>
      <w:lvlJc w:val="left"/>
      <w:pPr>
        <w:ind w:left="0" w:firstLine="0"/>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48" w15:restartNumberingAfterBreak="0">
    <w:nsid w:val="67FF755F"/>
    <w:multiLevelType w:val="multilevel"/>
    <w:tmpl w:val="95C05F06"/>
    <w:lvl w:ilvl="0">
      <w:start w:val="1"/>
      <w:numFmt w:val="decimal"/>
      <w:suff w:val="space"/>
      <w:lvlText w:val="%1."/>
      <w:lvlJc w:val="left"/>
      <w:pPr>
        <w:ind w:left="-323" w:hanging="397"/>
      </w:pPr>
      <w:rPr>
        <w:rFonts w:hint="default"/>
      </w:rPr>
    </w:lvl>
    <w:lvl w:ilvl="1">
      <w:start w:val="1"/>
      <w:numFmt w:val="decimal"/>
      <w:lvlText w:val="%1.%2."/>
      <w:lvlJc w:val="left"/>
      <w:pPr>
        <w:ind w:left="72" w:hanging="432"/>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49" w15:restartNumberingAfterBreak="0">
    <w:nsid w:val="713726A2"/>
    <w:multiLevelType w:val="hybridMultilevel"/>
    <w:tmpl w:val="8CC2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1566FE"/>
    <w:multiLevelType w:val="hybridMultilevel"/>
    <w:tmpl w:val="E28A5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7B19E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2"/>
  </w:num>
  <w:num w:numId="3">
    <w:abstractNumId w:val="12"/>
  </w:num>
  <w:num w:numId="4">
    <w:abstractNumId w:val="39"/>
  </w:num>
  <w:num w:numId="5">
    <w:abstractNumId w:val="10"/>
  </w:num>
  <w:num w:numId="6">
    <w:abstractNumId w:val="39"/>
  </w:num>
  <w:num w:numId="7">
    <w:abstractNumId w:val="24"/>
  </w:num>
  <w:num w:numId="8">
    <w:abstractNumId w:val="33"/>
  </w:num>
  <w:num w:numId="9">
    <w:abstractNumId w:val="30"/>
  </w:num>
  <w:num w:numId="10">
    <w:abstractNumId w:val="40"/>
  </w:num>
  <w:num w:numId="11">
    <w:abstractNumId w:val="19"/>
  </w:num>
  <w:num w:numId="12">
    <w:abstractNumId w:val="27"/>
  </w:num>
  <w:num w:numId="13">
    <w:abstractNumId w:val="35"/>
  </w:num>
  <w:num w:numId="14">
    <w:abstractNumId w:val="45"/>
  </w:num>
  <w:num w:numId="15">
    <w:abstractNumId w:val="11"/>
  </w:num>
  <w:num w:numId="16">
    <w:abstractNumId w:val="22"/>
  </w:num>
  <w:num w:numId="17">
    <w:abstractNumId w:val="37"/>
  </w:num>
  <w:num w:numId="18">
    <w:abstractNumId w:val="15"/>
  </w:num>
  <w:num w:numId="19">
    <w:abstractNumId w:val="13"/>
  </w:num>
  <w:num w:numId="20">
    <w:abstractNumId w:val="38"/>
  </w:num>
  <w:num w:numId="21">
    <w:abstractNumId w:val="31"/>
  </w:num>
  <w:num w:numId="22">
    <w:abstractNumId w:val="47"/>
  </w:num>
  <w:num w:numId="23">
    <w:abstractNumId w:val="25"/>
  </w:num>
  <w:num w:numId="24">
    <w:abstractNumId w:val="42"/>
  </w:num>
  <w:num w:numId="25">
    <w:abstractNumId w:val="46"/>
  </w:num>
  <w:num w:numId="26">
    <w:abstractNumId w:val="29"/>
  </w:num>
  <w:num w:numId="27">
    <w:abstractNumId w:val="34"/>
  </w:num>
  <w:num w:numId="28">
    <w:abstractNumId w:val="21"/>
  </w:num>
  <w:num w:numId="29">
    <w:abstractNumId w:val="51"/>
  </w:num>
  <w:num w:numId="30">
    <w:abstractNumId w:val="48"/>
  </w:num>
  <w:num w:numId="31">
    <w:abstractNumId w:val="14"/>
  </w:num>
  <w:num w:numId="32">
    <w:abstractNumId w:val="41"/>
  </w:num>
  <w:num w:numId="33">
    <w:abstractNumId w:val="18"/>
  </w:num>
  <w:num w:numId="34">
    <w:abstractNumId w:val="4"/>
  </w:num>
  <w:num w:numId="35">
    <w:abstractNumId w:val="5"/>
  </w:num>
  <w:num w:numId="36">
    <w:abstractNumId w:val="6"/>
  </w:num>
  <w:num w:numId="37">
    <w:abstractNumId w:val="7"/>
  </w:num>
  <w:num w:numId="38">
    <w:abstractNumId w:val="9"/>
  </w:num>
  <w:num w:numId="39">
    <w:abstractNumId w:val="0"/>
  </w:num>
  <w:num w:numId="40">
    <w:abstractNumId w:val="1"/>
  </w:num>
  <w:num w:numId="41">
    <w:abstractNumId w:val="2"/>
  </w:num>
  <w:num w:numId="42">
    <w:abstractNumId w:val="3"/>
  </w:num>
  <w:num w:numId="43">
    <w:abstractNumId w:val="8"/>
  </w:num>
  <w:num w:numId="44">
    <w:abstractNumId w:val="2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7"/>
  </w:num>
  <w:num w:numId="48">
    <w:abstractNumId w:val="44"/>
  </w:num>
  <w:num w:numId="49">
    <w:abstractNumId w:val="49"/>
  </w:num>
  <w:num w:numId="50">
    <w:abstractNumId w:val="23"/>
  </w:num>
  <w:num w:numId="51">
    <w:abstractNumId w:val="36"/>
  </w:num>
  <w:num w:numId="52">
    <w:abstractNumId w:val="28"/>
  </w:num>
  <w:num w:numId="53">
    <w:abstractNumId w:val="43"/>
  </w:num>
  <w:num w:numId="54">
    <w:abstractNumId w:val="32"/>
  </w:num>
  <w:num w:numId="55">
    <w:abstractNumId w:val="50"/>
  </w:num>
  <w:num w:numId="56">
    <w:abstractNumId w:val="26"/>
  </w:num>
  <w:num w:numId="57">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8E"/>
    <w:rsid w:val="000029CE"/>
    <w:rsid w:val="00012A4E"/>
    <w:rsid w:val="0003114A"/>
    <w:rsid w:val="000810B4"/>
    <w:rsid w:val="000860D0"/>
    <w:rsid w:val="00086823"/>
    <w:rsid w:val="000A135D"/>
    <w:rsid w:val="000C0A57"/>
    <w:rsid w:val="000C7CFA"/>
    <w:rsid w:val="000D1DA7"/>
    <w:rsid w:val="001168C1"/>
    <w:rsid w:val="00152C58"/>
    <w:rsid w:val="00155167"/>
    <w:rsid w:val="00164EC1"/>
    <w:rsid w:val="00170C96"/>
    <w:rsid w:val="00185D2D"/>
    <w:rsid w:val="001938E8"/>
    <w:rsid w:val="001B2CA7"/>
    <w:rsid w:val="001B4322"/>
    <w:rsid w:val="001B4ADA"/>
    <w:rsid w:val="001B5A92"/>
    <w:rsid w:val="001F0E28"/>
    <w:rsid w:val="002047FF"/>
    <w:rsid w:val="00241CB3"/>
    <w:rsid w:val="002439BF"/>
    <w:rsid w:val="00244629"/>
    <w:rsid w:val="00252456"/>
    <w:rsid w:val="00265DA4"/>
    <w:rsid w:val="0026707E"/>
    <w:rsid w:val="00267160"/>
    <w:rsid w:val="0027615B"/>
    <w:rsid w:val="002A4893"/>
    <w:rsid w:val="002B18CF"/>
    <w:rsid w:val="002C5358"/>
    <w:rsid w:val="002D5496"/>
    <w:rsid w:val="002D7707"/>
    <w:rsid w:val="002E5ECF"/>
    <w:rsid w:val="002F45B6"/>
    <w:rsid w:val="00300B30"/>
    <w:rsid w:val="00302E24"/>
    <w:rsid w:val="00367828"/>
    <w:rsid w:val="00387239"/>
    <w:rsid w:val="003B2455"/>
    <w:rsid w:val="003B3AF7"/>
    <w:rsid w:val="00401652"/>
    <w:rsid w:val="004538F7"/>
    <w:rsid w:val="00455CC5"/>
    <w:rsid w:val="004652FE"/>
    <w:rsid w:val="00475D12"/>
    <w:rsid w:val="004870C9"/>
    <w:rsid w:val="0049308A"/>
    <w:rsid w:val="004A6AF0"/>
    <w:rsid w:val="004A6B4D"/>
    <w:rsid w:val="004A748C"/>
    <w:rsid w:val="004C3081"/>
    <w:rsid w:val="004C35C7"/>
    <w:rsid w:val="004C605E"/>
    <w:rsid w:val="004D1E0B"/>
    <w:rsid w:val="004E3E56"/>
    <w:rsid w:val="0051316C"/>
    <w:rsid w:val="0051656D"/>
    <w:rsid w:val="005662B5"/>
    <w:rsid w:val="00580FA3"/>
    <w:rsid w:val="00587E96"/>
    <w:rsid w:val="005919CF"/>
    <w:rsid w:val="005C6C55"/>
    <w:rsid w:val="00605E48"/>
    <w:rsid w:val="006067AC"/>
    <w:rsid w:val="006200FE"/>
    <w:rsid w:val="00624FAA"/>
    <w:rsid w:val="00626E3E"/>
    <w:rsid w:val="00633C65"/>
    <w:rsid w:val="006351F5"/>
    <w:rsid w:val="0064126F"/>
    <w:rsid w:val="006601A0"/>
    <w:rsid w:val="00662226"/>
    <w:rsid w:val="00663D61"/>
    <w:rsid w:val="00680DFF"/>
    <w:rsid w:val="00694399"/>
    <w:rsid w:val="006A550E"/>
    <w:rsid w:val="006D28EF"/>
    <w:rsid w:val="006D4C6E"/>
    <w:rsid w:val="006E00D8"/>
    <w:rsid w:val="006E2AA7"/>
    <w:rsid w:val="007006BD"/>
    <w:rsid w:val="007051C6"/>
    <w:rsid w:val="007206C0"/>
    <w:rsid w:val="00741237"/>
    <w:rsid w:val="00767B3C"/>
    <w:rsid w:val="007A3B1A"/>
    <w:rsid w:val="007C631F"/>
    <w:rsid w:val="007E0F97"/>
    <w:rsid w:val="007E2959"/>
    <w:rsid w:val="007E60F9"/>
    <w:rsid w:val="008047EF"/>
    <w:rsid w:val="00820612"/>
    <w:rsid w:val="00836475"/>
    <w:rsid w:val="00852C4C"/>
    <w:rsid w:val="00852E3A"/>
    <w:rsid w:val="00867CE5"/>
    <w:rsid w:val="008756D4"/>
    <w:rsid w:val="008804E8"/>
    <w:rsid w:val="00886D74"/>
    <w:rsid w:val="008A2155"/>
    <w:rsid w:val="008C01BD"/>
    <w:rsid w:val="008F0264"/>
    <w:rsid w:val="00902848"/>
    <w:rsid w:val="009373CD"/>
    <w:rsid w:val="00940DBF"/>
    <w:rsid w:val="009646E5"/>
    <w:rsid w:val="0099068C"/>
    <w:rsid w:val="00990C4E"/>
    <w:rsid w:val="009A3992"/>
    <w:rsid w:val="009B6FEE"/>
    <w:rsid w:val="009B70F1"/>
    <w:rsid w:val="009C753B"/>
    <w:rsid w:val="009D6A7F"/>
    <w:rsid w:val="009F46AE"/>
    <w:rsid w:val="00A15790"/>
    <w:rsid w:val="00A26597"/>
    <w:rsid w:val="00A3612B"/>
    <w:rsid w:val="00A37B9A"/>
    <w:rsid w:val="00A42B52"/>
    <w:rsid w:val="00A47501"/>
    <w:rsid w:val="00A53627"/>
    <w:rsid w:val="00A6200F"/>
    <w:rsid w:val="00A6651D"/>
    <w:rsid w:val="00AB1F1C"/>
    <w:rsid w:val="00AB5DE8"/>
    <w:rsid w:val="00AC38A9"/>
    <w:rsid w:val="00AF7486"/>
    <w:rsid w:val="00B23195"/>
    <w:rsid w:val="00B4029C"/>
    <w:rsid w:val="00B43BF1"/>
    <w:rsid w:val="00B51CDF"/>
    <w:rsid w:val="00B76212"/>
    <w:rsid w:val="00BB1D63"/>
    <w:rsid w:val="00BE2128"/>
    <w:rsid w:val="00BF4F81"/>
    <w:rsid w:val="00C00A9C"/>
    <w:rsid w:val="00C05512"/>
    <w:rsid w:val="00C07991"/>
    <w:rsid w:val="00C142D9"/>
    <w:rsid w:val="00C267DA"/>
    <w:rsid w:val="00C2749E"/>
    <w:rsid w:val="00C559D2"/>
    <w:rsid w:val="00C74945"/>
    <w:rsid w:val="00C74CC6"/>
    <w:rsid w:val="00C7692E"/>
    <w:rsid w:val="00C94417"/>
    <w:rsid w:val="00C978D3"/>
    <w:rsid w:val="00CA0474"/>
    <w:rsid w:val="00CC0C63"/>
    <w:rsid w:val="00CD2448"/>
    <w:rsid w:val="00CD44EA"/>
    <w:rsid w:val="00CD74A8"/>
    <w:rsid w:val="00CD7550"/>
    <w:rsid w:val="00CE7B5B"/>
    <w:rsid w:val="00D07550"/>
    <w:rsid w:val="00D16C16"/>
    <w:rsid w:val="00D2293F"/>
    <w:rsid w:val="00D30F7B"/>
    <w:rsid w:val="00D524AB"/>
    <w:rsid w:val="00DB2DD5"/>
    <w:rsid w:val="00DC45CA"/>
    <w:rsid w:val="00DC7903"/>
    <w:rsid w:val="00DE0FAB"/>
    <w:rsid w:val="00DE3940"/>
    <w:rsid w:val="00DE4E91"/>
    <w:rsid w:val="00DF5CB5"/>
    <w:rsid w:val="00DF662F"/>
    <w:rsid w:val="00E02639"/>
    <w:rsid w:val="00E049D2"/>
    <w:rsid w:val="00E22BCC"/>
    <w:rsid w:val="00E363A0"/>
    <w:rsid w:val="00E50C13"/>
    <w:rsid w:val="00E655D8"/>
    <w:rsid w:val="00E6602A"/>
    <w:rsid w:val="00E66F03"/>
    <w:rsid w:val="00E72EB3"/>
    <w:rsid w:val="00E72FA1"/>
    <w:rsid w:val="00E811A1"/>
    <w:rsid w:val="00EA71E9"/>
    <w:rsid w:val="00EC343B"/>
    <w:rsid w:val="00EC769B"/>
    <w:rsid w:val="00ED7E53"/>
    <w:rsid w:val="00EE37A7"/>
    <w:rsid w:val="00EF55A6"/>
    <w:rsid w:val="00F02005"/>
    <w:rsid w:val="00F14FC9"/>
    <w:rsid w:val="00F22E92"/>
    <w:rsid w:val="00F60B8E"/>
    <w:rsid w:val="00F64403"/>
    <w:rsid w:val="00F7528C"/>
    <w:rsid w:val="00F7716E"/>
    <w:rsid w:val="00FB14B1"/>
    <w:rsid w:val="00FD05C3"/>
    <w:rsid w:val="00FE0978"/>
    <w:rsid w:val="00FF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4F4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56D"/>
    <w:pPr>
      <w:spacing w:before="280" w:after="280" w:line="240" w:lineRule="auto"/>
    </w:pPr>
    <w:rPr>
      <w:color w:val="000000" w:themeColor="text1"/>
      <w:sz w:val="24"/>
      <w:lang w:val="en-US"/>
      <w14:numForm w14:val="lining"/>
    </w:rPr>
  </w:style>
  <w:style w:type="paragraph" w:styleId="Heading1">
    <w:name w:val="heading 1"/>
    <w:next w:val="Normal"/>
    <w:link w:val="Heading1Char"/>
    <w:uiPriority w:val="9"/>
    <w:qFormat/>
    <w:rsid w:val="00FE0978"/>
    <w:pPr>
      <w:keepNext/>
      <w:keepLines/>
      <w:numPr>
        <w:numId w:val="33"/>
      </w:numPr>
      <w:spacing w:before="840" w:after="120"/>
      <w:ind w:left="397"/>
      <w:outlineLvl w:val="0"/>
    </w:pPr>
    <w:rPr>
      <w:rFonts w:asciiTheme="majorHAnsi" w:eastAsiaTheme="majorEastAsia" w:hAnsiTheme="majorHAnsi" w:cs="Times New Roman (Titoli CS)"/>
      <w:b/>
      <w:color w:val="354152" w:themeColor="text2"/>
      <w:spacing w:val="-10"/>
      <w:kern w:val="28"/>
      <w:sz w:val="36"/>
      <w:szCs w:val="32"/>
      <w14:numForm w14:val="lining"/>
    </w:rPr>
  </w:style>
  <w:style w:type="paragraph" w:styleId="Heading2">
    <w:name w:val="heading 2"/>
    <w:basedOn w:val="Heading1"/>
    <w:next w:val="Normal"/>
    <w:link w:val="Heading2Char"/>
    <w:uiPriority w:val="9"/>
    <w:unhideWhenUsed/>
    <w:qFormat/>
    <w:rsid w:val="00FE0978"/>
    <w:pPr>
      <w:numPr>
        <w:ilvl w:val="1"/>
      </w:numPr>
      <w:spacing w:before="240" w:after="240"/>
      <w:ind w:left="680" w:hanging="680"/>
      <w:outlineLvl w:val="1"/>
    </w:pPr>
    <w:rPr>
      <w:sz w:val="28"/>
      <w:szCs w:val="26"/>
    </w:rPr>
  </w:style>
  <w:style w:type="paragraph" w:styleId="Heading3">
    <w:name w:val="heading 3"/>
    <w:basedOn w:val="Heading2"/>
    <w:next w:val="Normal"/>
    <w:link w:val="Heading3Char"/>
    <w:uiPriority w:val="9"/>
    <w:unhideWhenUsed/>
    <w:qFormat/>
    <w:rsid w:val="00AC38A9"/>
    <w:pPr>
      <w:numPr>
        <w:ilvl w:val="2"/>
      </w:numPr>
      <w:ind w:left="794" w:hanging="794"/>
      <w:outlineLvl w:val="2"/>
    </w:pPr>
    <w:rPr>
      <w:rFonts w:cstheme="majorBidi"/>
      <w:b w:val="0"/>
      <w:szCs w:val="24"/>
    </w:rPr>
  </w:style>
  <w:style w:type="paragraph" w:styleId="Heading4">
    <w:name w:val="heading 4"/>
    <w:basedOn w:val="Heading3"/>
    <w:next w:val="Normal"/>
    <w:link w:val="Heading4Char"/>
    <w:uiPriority w:val="9"/>
    <w:unhideWhenUsed/>
    <w:qFormat/>
    <w:rsid w:val="00AC38A9"/>
    <w:pPr>
      <w:numPr>
        <w:ilvl w:val="3"/>
      </w:numPr>
      <w:ind w:left="907" w:hanging="907"/>
      <w:outlineLvl w:val="3"/>
    </w:pPr>
    <w:rPr>
      <w:iCs/>
      <w:sz w:val="24"/>
    </w:rPr>
  </w:style>
  <w:style w:type="paragraph" w:styleId="Heading5">
    <w:name w:val="heading 5"/>
    <w:basedOn w:val="Heading4"/>
    <w:next w:val="Normal"/>
    <w:link w:val="Heading5Char"/>
    <w:uiPriority w:val="9"/>
    <w:unhideWhenUsed/>
    <w:qFormat/>
    <w:rsid w:val="00AC38A9"/>
    <w:pPr>
      <w:numPr>
        <w:ilvl w:val="4"/>
      </w:numPr>
      <w:ind w:left="1134" w:hanging="113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4870C9"/>
    <w:pPr>
      <w:spacing w:after="0" w:line="240" w:lineRule="auto"/>
    </w:pPr>
    <w:rPr>
      <w:b/>
      <w:color w:val="234B98" w:themeColor="accent1"/>
    </w:rPr>
    <w:tblPr>
      <w:tblBorders>
        <w:top w:val="single" w:sz="4" w:space="0" w:color="234B98" w:themeColor="accent1"/>
        <w:bottom w:val="single" w:sz="4" w:space="0" w:color="234B98" w:themeColor="accent1"/>
        <w:insideH w:val="single" w:sz="4" w:space="0" w:color="234B98" w:themeColor="accent1"/>
      </w:tblBorders>
    </w:tblPr>
    <w:tcPr>
      <w:shd w:val="clear" w:color="auto" w:fill="auto"/>
      <w:vAlign w:val="center"/>
    </w:tcPr>
    <w:tblStylePr w:type="firstRow">
      <w:rPr>
        <w:rFonts w:asciiTheme="minorHAnsi" w:hAnsiTheme="minorHAnsi"/>
        <w:b/>
        <w:sz w:val="22"/>
      </w:rPr>
      <w:tblPr/>
      <w:tcPr>
        <w:tcBorders>
          <w:bottom w:val="nil"/>
        </w:tcBorders>
        <w:shd w:val="clear" w:color="auto" w:fill="auto"/>
      </w:tcPr>
    </w:tblStylePr>
  </w:style>
  <w:style w:type="paragraph" w:customStyle="1" w:styleId="Authors">
    <w:name w:val="Authors"/>
    <w:basedOn w:val="Normal"/>
    <w:qFormat/>
    <w:rsid w:val="00AF7486"/>
    <w:pPr>
      <w:spacing w:line="280" w:lineRule="exact"/>
    </w:pPr>
    <w:rPr>
      <w:lang w:val="it-IT"/>
    </w:rPr>
  </w:style>
  <w:style w:type="paragraph" w:styleId="BalloonText">
    <w:name w:val="Balloon Text"/>
    <w:basedOn w:val="Normal"/>
    <w:link w:val="BalloonTextChar"/>
    <w:uiPriority w:val="99"/>
    <w:semiHidden/>
    <w:unhideWhenUsed/>
    <w:rsid w:val="00AF748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486"/>
    <w:rPr>
      <w:rFonts w:ascii="Segoe UI" w:hAnsi="Segoe UI" w:cs="Segoe UI"/>
      <w:color w:val="000000" w:themeColor="text1"/>
      <w:sz w:val="18"/>
      <w:szCs w:val="18"/>
      <w14:numForm w14:val="lining"/>
    </w:rPr>
  </w:style>
  <w:style w:type="paragraph" w:styleId="Caption">
    <w:name w:val="caption"/>
    <w:basedOn w:val="Normal"/>
    <w:next w:val="Normal"/>
    <w:uiPriority w:val="35"/>
    <w:unhideWhenUsed/>
    <w:qFormat/>
    <w:rsid w:val="00DE3940"/>
    <w:pPr>
      <w:spacing w:before="0" w:after="200"/>
    </w:pPr>
    <w:rPr>
      <w:b/>
      <w:iCs/>
      <w:sz w:val="20"/>
      <w:szCs w:val="18"/>
    </w:rPr>
  </w:style>
  <w:style w:type="table" w:customStyle="1" w:styleId="EIFTable">
    <w:name w:val="EIF_Table"/>
    <w:basedOn w:val="TableNormal"/>
    <w:uiPriority w:val="99"/>
    <w:rsid w:val="00AF7486"/>
    <w:pPr>
      <w:spacing w:after="0" w:line="240" w:lineRule="auto"/>
    </w:pPr>
    <w:rPr>
      <w:b/>
      <w:color w:val="F1C065" w:themeColor="accent2"/>
    </w:rPr>
    <w:tblPr>
      <w:tblStyleRowBandSize w:val="1"/>
    </w:tblPr>
    <w:tcPr>
      <w:shd w:val="clear" w:color="auto" w:fill="FFFFFF" w:themeFill="background1"/>
      <w:vAlign w:val="center"/>
    </w:tcPr>
    <w:tblStylePr w:type="firstRow">
      <w:rPr>
        <w:rFonts w:ascii="Canela Text Light" w:hAnsi="Canela Text Light"/>
        <w:b/>
        <w:color w:val="234B98" w:themeColor="accent1"/>
        <w:sz w:val="28"/>
      </w:rPr>
      <w:tblPr/>
      <w:tcPr>
        <w:tcBorders>
          <w:top w:val="single" w:sz="12" w:space="0" w:color="234B98" w:themeColor="accent1"/>
          <w:left w:val="nil"/>
          <w:bottom w:val="single" w:sz="12" w:space="0" w:color="234B98" w:themeColor="accent1"/>
          <w:right w:val="nil"/>
          <w:insideH w:val="nil"/>
          <w:insideV w:val="nil"/>
        </w:tcBorders>
        <w:shd w:val="clear" w:color="auto" w:fill="auto"/>
      </w:tcPr>
    </w:tblStylePr>
    <w:tblStylePr w:type="band1Horz">
      <w:rPr>
        <w:rFonts w:asciiTheme="minorHAnsi" w:hAnsiTheme="minorHAnsi"/>
        <w:b w:val="0"/>
        <w:color w:val="000000" w:themeColor="text1"/>
        <w:sz w:val="22"/>
      </w:rPr>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E3E6F1"/>
      </w:tcPr>
    </w:tblStylePr>
    <w:tblStylePr w:type="band2Horz">
      <w:rPr>
        <w:rFonts w:ascii="Canela Text Light" w:hAnsi="Canela Text Light"/>
        <w:b w:val="0"/>
        <w:color w:val="000000" w:themeColor="text1"/>
        <w:sz w:val="22"/>
      </w:rPr>
      <w:tblPr/>
      <w:tcPr>
        <w:tcBorders>
          <w:top w:val="single" w:sz="4" w:space="0" w:color="FFFFFF" w:themeColor="background1"/>
        </w:tcBorders>
        <w:shd w:val="clear" w:color="auto" w:fill="FFFFFF" w:themeFill="background1"/>
      </w:tcPr>
    </w:tblStylePr>
  </w:style>
  <w:style w:type="character" w:styleId="EndnoteReference">
    <w:name w:val="endnote reference"/>
    <w:basedOn w:val="DefaultParagraphFont"/>
    <w:uiPriority w:val="99"/>
    <w:unhideWhenUsed/>
    <w:rsid w:val="00AF7486"/>
    <w:rPr>
      <w:vertAlign w:val="superscript"/>
    </w:rPr>
  </w:style>
  <w:style w:type="paragraph" w:styleId="EndnoteText">
    <w:name w:val="endnote text"/>
    <w:basedOn w:val="Normal"/>
    <w:link w:val="EndnoteTextChar"/>
    <w:uiPriority w:val="99"/>
    <w:unhideWhenUsed/>
    <w:rsid w:val="00AF7486"/>
    <w:pPr>
      <w:spacing w:before="0" w:after="0"/>
    </w:pPr>
    <w:rPr>
      <w:sz w:val="20"/>
      <w:szCs w:val="20"/>
    </w:rPr>
  </w:style>
  <w:style w:type="character" w:customStyle="1" w:styleId="EndnoteTextChar">
    <w:name w:val="Endnote Text Char"/>
    <w:basedOn w:val="DefaultParagraphFont"/>
    <w:link w:val="EndnoteText"/>
    <w:uiPriority w:val="99"/>
    <w:rsid w:val="00AF7486"/>
    <w:rPr>
      <w:color w:val="000000" w:themeColor="text1"/>
      <w:sz w:val="20"/>
      <w:szCs w:val="20"/>
      <w14:numForm w14:val="lining"/>
    </w:rPr>
  </w:style>
  <w:style w:type="paragraph" w:customStyle="1" w:styleId="Executivesummarytext">
    <w:name w:val="Executive summary text"/>
    <w:basedOn w:val="Normal"/>
    <w:next w:val="Normal"/>
    <w:qFormat/>
    <w:rsid w:val="00FE0978"/>
    <w:pPr>
      <w:spacing w:before="0" w:after="120"/>
    </w:pPr>
    <w:rPr>
      <w:rFonts w:cs="Times New Roman (Corpo CS)"/>
      <w:color w:val="354152" w:themeColor="text2"/>
    </w:rPr>
  </w:style>
  <w:style w:type="paragraph" w:customStyle="1" w:styleId="FNSeparator">
    <w:name w:val="FN Separator"/>
    <w:basedOn w:val="Normal"/>
    <w:qFormat/>
    <w:rsid w:val="00AF7486"/>
    <w:pPr>
      <w:pBdr>
        <w:top w:val="single" w:sz="4" w:space="1" w:color="4D4D4D"/>
      </w:pBdr>
      <w:spacing w:before="240" w:after="0"/>
    </w:pPr>
    <w:rPr>
      <w:i/>
      <w:color w:val="4D4D4D"/>
      <w:sz w:val="2"/>
    </w:rPr>
  </w:style>
  <w:style w:type="paragraph" w:styleId="Footer">
    <w:name w:val="footer"/>
    <w:basedOn w:val="Normal"/>
    <w:link w:val="FooterChar"/>
    <w:uiPriority w:val="99"/>
    <w:unhideWhenUsed/>
    <w:rsid w:val="00FE0978"/>
    <w:pPr>
      <w:tabs>
        <w:tab w:val="center" w:pos="4819"/>
        <w:tab w:val="right" w:pos="9638"/>
      </w:tabs>
      <w:spacing w:before="0" w:after="0"/>
    </w:pPr>
    <w:rPr>
      <w:rFonts w:asciiTheme="majorHAnsi" w:hAnsiTheme="majorHAnsi"/>
      <w:color w:val="354152" w:themeColor="text2"/>
    </w:rPr>
  </w:style>
  <w:style w:type="character" w:customStyle="1" w:styleId="FooterChar">
    <w:name w:val="Footer Char"/>
    <w:basedOn w:val="DefaultParagraphFont"/>
    <w:link w:val="Footer"/>
    <w:uiPriority w:val="99"/>
    <w:rsid w:val="00FE0978"/>
    <w:rPr>
      <w:rFonts w:asciiTheme="majorHAnsi" w:hAnsiTheme="majorHAnsi"/>
      <w:color w:val="354152" w:themeColor="text2"/>
      <w14:numForm w14:val="lining"/>
    </w:rPr>
  </w:style>
  <w:style w:type="character" w:styleId="FootnoteReference">
    <w:name w:val="footnote reference"/>
    <w:basedOn w:val="DefaultParagraphFont"/>
    <w:uiPriority w:val="99"/>
    <w:semiHidden/>
    <w:unhideWhenUsed/>
    <w:rsid w:val="00AF7486"/>
    <w:rPr>
      <w:vertAlign w:val="superscript"/>
    </w:rPr>
  </w:style>
  <w:style w:type="paragraph" w:styleId="FootnoteText">
    <w:name w:val="footnote text"/>
    <w:basedOn w:val="Normal"/>
    <w:link w:val="FootnoteTextChar"/>
    <w:uiPriority w:val="99"/>
    <w:unhideWhenUsed/>
    <w:rsid w:val="00AF7486"/>
    <w:pPr>
      <w:spacing w:before="0" w:after="0"/>
    </w:pPr>
    <w:rPr>
      <w:i/>
      <w:color w:val="4D4D4D"/>
      <w:sz w:val="18"/>
      <w:szCs w:val="20"/>
    </w:rPr>
  </w:style>
  <w:style w:type="character" w:customStyle="1" w:styleId="FootnoteTextChar">
    <w:name w:val="Footnote Text Char"/>
    <w:basedOn w:val="DefaultParagraphFont"/>
    <w:link w:val="FootnoteText"/>
    <w:uiPriority w:val="99"/>
    <w:rsid w:val="00AF7486"/>
    <w:rPr>
      <w:i/>
      <w:color w:val="4D4D4D"/>
      <w:sz w:val="18"/>
      <w:szCs w:val="20"/>
      <w14:numForm w14:val="lining"/>
    </w:rPr>
  </w:style>
  <w:style w:type="table" w:styleId="GridTable1Light">
    <w:name w:val="Grid Table 1 Light"/>
    <w:basedOn w:val="TableNormal"/>
    <w:uiPriority w:val="46"/>
    <w:rsid w:val="00AF74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F7486"/>
    <w:pPr>
      <w:tabs>
        <w:tab w:val="center" w:pos="4819"/>
        <w:tab w:val="right" w:pos="9638"/>
      </w:tabs>
      <w:spacing w:before="0" w:after="0"/>
      <w:jc w:val="right"/>
    </w:pPr>
    <w:rPr>
      <w:i/>
      <w:color w:val="234B98" w:themeColor="accent1"/>
    </w:rPr>
  </w:style>
  <w:style w:type="character" w:customStyle="1" w:styleId="HeaderChar">
    <w:name w:val="Header Char"/>
    <w:basedOn w:val="DefaultParagraphFont"/>
    <w:link w:val="Header"/>
    <w:uiPriority w:val="99"/>
    <w:rsid w:val="00AF7486"/>
    <w:rPr>
      <w:i/>
      <w:color w:val="234B98" w:themeColor="accent1"/>
      <w14:numForm w14:val="lining"/>
    </w:rPr>
  </w:style>
  <w:style w:type="character" w:customStyle="1" w:styleId="Heading1Char">
    <w:name w:val="Heading 1 Char"/>
    <w:basedOn w:val="DefaultParagraphFont"/>
    <w:link w:val="Heading1"/>
    <w:uiPriority w:val="9"/>
    <w:rsid w:val="00FE0978"/>
    <w:rPr>
      <w:rFonts w:asciiTheme="majorHAnsi" w:eastAsiaTheme="majorEastAsia" w:hAnsiTheme="majorHAnsi" w:cs="Times New Roman (Titoli CS)"/>
      <w:b/>
      <w:color w:val="354152" w:themeColor="text2"/>
      <w:spacing w:val="-10"/>
      <w:kern w:val="28"/>
      <w:sz w:val="36"/>
      <w:szCs w:val="32"/>
      <w14:numForm w14:val="lining"/>
    </w:rPr>
  </w:style>
  <w:style w:type="paragraph" w:styleId="Subtitle">
    <w:name w:val="Subtitle"/>
    <w:next w:val="Normal"/>
    <w:link w:val="SubtitleChar"/>
    <w:uiPriority w:val="11"/>
    <w:qFormat/>
    <w:rsid w:val="0049308A"/>
    <w:pPr>
      <w:framePr w:wrap="around" w:vAnchor="text" w:hAnchor="text" w:y="1"/>
      <w:numPr>
        <w:ilvl w:val="1"/>
      </w:numPr>
      <w:spacing w:line="360" w:lineRule="exact"/>
      <w:ind w:left="397"/>
    </w:pPr>
    <w:rPr>
      <w:rFonts w:asciiTheme="majorHAnsi" w:eastAsiaTheme="minorEastAsia" w:hAnsiTheme="majorHAnsi" w:cs="Times New Roman (Corpo CS)"/>
      <w:color w:val="4F5357" w:themeColor="accent4"/>
      <w:spacing w:val="4"/>
      <w:sz w:val="24"/>
      <w14:numForm w14:val="lining"/>
    </w:rPr>
  </w:style>
  <w:style w:type="character" w:customStyle="1" w:styleId="SubtitleChar">
    <w:name w:val="Subtitle Char"/>
    <w:basedOn w:val="DefaultParagraphFont"/>
    <w:link w:val="Subtitle"/>
    <w:uiPriority w:val="11"/>
    <w:rsid w:val="0049308A"/>
    <w:rPr>
      <w:rFonts w:asciiTheme="majorHAnsi" w:eastAsiaTheme="minorEastAsia" w:hAnsiTheme="majorHAnsi" w:cs="Times New Roman (Corpo CS)"/>
      <w:color w:val="4F5357" w:themeColor="accent4"/>
      <w:spacing w:val="4"/>
      <w:sz w:val="24"/>
      <w14:numForm w14:val="lining"/>
    </w:rPr>
  </w:style>
  <w:style w:type="character" w:customStyle="1" w:styleId="Heading2Char">
    <w:name w:val="Heading 2 Char"/>
    <w:basedOn w:val="DefaultParagraphFont"/>
    <w:link w:val="Heading2"/>
    <w:uiPriority w:val="9"/>
    <w:rsid w:val="00FE0978"/>
    <w:rPr>
      <w:rFonts w:asciiTheme="majorHAnsi" w:eastAsiaTheme="majorEastAsia" w:hAnsiTheme="majorHAnsi" w:cs="Times New Roman (Titoli CS)"/>
      <w:b/>
      <w:color w:val="354152" w:themeColor="text2"/>
      <w:spacing w:val="-10"/>
      <w:kern w:val="28"/>
      <w:sz w:val="28"/>
      <w:szCs w:val="26"/>
      <w14:numForm w14:val="lining"/>
    </w:rPr>
  </w:style>
  <w:style w:type="character" w:customStyle="1" w:styleId="Heading3Char">
    <w:name w:val="Heading 3 Char"/>
    <w:basedOn w:val="DefaultParagraphFont"/>
    <w:link w:val="Heading3"/>
    <w:uiPriority w:val="9"/>
    <w:rsid w:val="00AC38A9"/>
    <w:rPr>
      <w:rFonts w:asciiTheme="majorHAnsi" w:eastAsiaTheme="majorEastAsia" w:hAnsiTheme="majorHAnsi" w:cstheme="majorBidi"/>
      <w:color w:val="234B98" w:themeColor="accent1"/>
      <w:spacing w:val="-10"/>
      <w:kern w:val="28"/>
      <w:sz w:val="28"/>
      <w:szCs w:val="24"/>
      <w14:numForm w14:val="lining"/>
    </w:rPr>
  </w:style>
  <w:style w:type="character" w:customStyle="1" w:styleId="Heading4Char">
    <w:name w:val="Heading 4 Char"/>
    <w:basedOn w:val="DefaultParagraphFont"/>
    <w:link w:val="Heading4"/>
    <w:uiPriority w:val="9"/>
    <w:rsid w:val="00AC38A9"/>
    <w:rPr>
      <w:rFonts w:asciiTheme="majorHAnsi" w:eastAsiaTheme="majorEastAsia" w:hAnsiTheme="majorHAnsi" w:cstheme="majorBidi"/>
      <w:iCs/>
      <w:color w:val="234B98" w:themeColor="accent1"/>
      <w:spacing w:val="-10"/>
      <w:kern w:val="28"/>
      <w:sz w:val="24"/>
      <w:szCs w:val="24"/>
      <w14:numForm w14:val="lining"/>
    </w:rPr>
  </w:style>
  <w:style w:type="paragraph" w:customStyle="1" w:styleId="NOTESTITLE">
    <w:name w:val="NOTES TITLE"/>
    <w:basedOn w:val="Normal"/>
    <w:qFormat/>
    <w:rsid w:val="00FE0978"/>
    <w:rPr>
      <w:rFonts w:asciiTheme="majorHAnsi" w:hAnsiTheme="majorHAnsi"/>
      <w:b/>
      <w:color w:val="354152" w:themeColor="text2"/>
      <w:sz w:val="28"/>
    </w:rPr>
  </w:style>
  <w:style w:type="character" w:styleId="Hyperlink">
    <w:name w:val="Hyperlink"/>
    <w:basedOn w:val="DefaultParagraphFont"/>
    <w:uiPriority w:val="99"/>
    <w:unhideWhenUsed/>
    <w:rsid w:val="00AF7486"/>
    <w:rPr>
      <w:color w:val="0563C1" w:themeColor="hyperlink"/>
      <w:u w:val="single"/>
    </w:rPr>
  </w:style>
  <w:style w:type="paragraph" w:styleId="ListParagraph">
    <w:name w:val="List Paragraph"/>
    <w:basedOn w:val="Normal"/>
    <w:uiPriority w:val="34"/>
    <w:qFormat/>
    <w:rsid w:val="0051316C"/>
    <w:pPr>
      <w:numPr>
        <w:numId w:val="5"/>
      </w:numPr>
      <w:autoSpaceDE w:val="0"/>
      <w:autoSpaceDN w:val="0"/>
      <w:adjustRightInd w:val="0"/>
      <w:spacing w:before="240" w:after="240"/>
    </w:pPr>
    <w:rPr>
      <w:rFonts w:cs="Canela Text Light"/>
      <w:color w:val="auto"/>
    </w:rPr>
  </w:style>
  <w:style w:type="paragraph" w:styleId="NoSpacing">
    <w:name w:val="No Spacing"/>
    <w:link w:val="NoSpacingChar"/>
    <w:uiPriority w:val="1"/>
    <w:qFormat/>
    <w:rsid w:val="00AF748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7486"/>
    <w:rPr>
      <w:rFonts w:eastAsiaTheme="minorEastAsia"/>
      <w:lang w:val="en-US"/>
    </w:rPr>
  </w:style>
  <w:style w:type="paragraph" w:customStyle="1" w:styleId="Source">
    <w:name w:val="Source"/>
    <w:next w:val="Normal"/>
    <w:qFormat/>
    <w:rsid w:val="00FE0978"/>
    <w:pPr>
      <w:framePr w:wrap="around" w:vAnchor="text" w:hAnchor="text" w:y="1"/>
      <w:pBdr>
        <w:top w:val="single" w:sz="4" w:space="3" w:color="354152" w:themeColor="text2"/>
      </w:pBdr>
      <w:spacing w:before="120" w:after="280" w:line="220" w:lineRule="exact"/>
    </w:pPr>
    <w:rPr>
      <w:color w:val="354152" w:themeColor="text2"/>
      <w:sz w:val="14"/>
      <w14:numForm w14:val="lining"/>
    </w:rPr>
  </w:style>
  <w:style w:type="paragraph" w:customStyle="1" w:styleId="Note">
    <w:name w:val="Note"/>
    <w:next w:val="Normal"/>
    <w:qFormat/>
    <w:rsid w:val="00FE0978"/>
    <w:pPr>
      <w:framePr w:wrap="around" w:vAnchor="text" w:hAnchor="text" w:y="1"/>
      <w:pBdr>
        <w:top w:val="single" w:sz="4" w:space="1" w:color="354152" w:themeColor="text2"/>
      </w:pBdr>
      <w:spacing w:line="220" w:lineRule="exact"/>
    </w:pPr>
    <w:rPr>
      <w:rFonts w:cs="Times New Roman (Corpo CS)"/>
      <w:i/>
      <w:color w:val="000000" w:themeColor="text1"/>
      <w:sz w:val="15"/>
      <w:lang w:val="it-IT"/>
      <w14:numForm w14:val="lining"/>
    </w:rPr>
  </w:style>
  <w:style w:type="paragraph" w:customStyle="1" w:styleId="Box">
    <w:name w:val="Box"/>
    <w:next w:val="Normal"/>
    <w:qFormat/>
    <w:rsid w:val="0051656D"/>
    <w:pPr>
      <w:numPr>
        <w:ilvl w:val="1"/>
      </w:numPr>
      <w:pBdr>
        <w:top w:val="thinThickMediumGap" w:sz="24" w:space="10" w:color="768AA6" w:themeColor="text2" w:themeTint="99"/>
        <w:left w:val="thinThickMediumGap" w:sz="24" w:space="10" w:color="768AA6" w:themeColor="text2" w:themeTint="99"/>
        <w:bottom w:val="thickThinMediumGap" w:sz="24" w:space="10" w:color="768AA6" w:themeColor="text2" w:themeTint="99"/>
        <w:right w:val="thickThinMediumGap" w:sz="24" w:space="10" w:color="768AA6" w:themeColor="text2" w:themeTint="99"/>
      </w:pBdr>
      <w:shd w:val="clear" w:color="auto" w:fill="FFFFFF" w:themeFill="background1"/>
      <w:spacing w:before="360" w:after="360"/>
    </w:pPr>
    <w:rPr>
      <w:sz w:val="24"/>
      <w:szCs w:val="16"/>
      <w:lang w:eastAsia="fr-FR"/>
      <w14:numForm w14:val="lining"/>
    </w:rPr>
  </w:style>
  <w:style w:type="table" w:styleId="TableGrid">
    <w:name w:val="Table Grid"/>
    <w:basedOn w:val="TableNormal"/>
    <w:uiPriority w:val="39"/>
    <w:rsid w:val="00AF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F74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next w:val="Executivesummarytext"/>
    <w:qFormat/>
    <w:rsid w:val="00FE0978"/>
    <w:pPr>
      <w:spacing w:before="0"/>
    </w:pPr>
    <w:rPr>
      <w:rFonts w:asciiTheme="majorHAnsi" w:hAnsiTheme="majorHAnsi"/>
      <w:b/>
      <w:color w:val="354152" w:themeColor="text2"/>
      <w:sz w:val="36"/>
    </w:rPr>
  </w:style>
  <w:style w:type="paragraph" w:styleId="TOC1">
    <w:name w:val="toc 1"/>
    <w:basedOn w:val="Normal"/>
    <w:next w:val="Normal"/>
    <w:autoRedefine/>
    <w:uiPriority w:val="39"/>
    <w:unhideWhenUsed/>
    <w:rsid w:val="00FE0978"/>
    <w:pPr>
      <w:spacing w:before="360" w:after="0"/>
      <w:ind w:left="340" w:hanging="340"/>
    </w:pPr>
    <w:rPr>
      <w:rFonts w:asciiTheme="majorHAnsi" w:hAnsiTheme="majorHAnsi" w:cs="Times New Roman (Corpo CS)"/>
      <w:b/>
      <w:bCs/>
      <w:color w:val="354152" w:themeColor="text2"/>
      <w:sz w:val="28"/>
      <w:szCs w:val="24"/>
    </w:rPr>
  </w:style>
  <w:style w:type="paragraph" w:styleId="TOC2">
    <w:name w:val="toc 2"/>
    <w:basedOn w:val="Normal"/>
    <w:next w:val="Normal"/>
    <w:autoRedefine/>
    <w:uiPriority w:val="39"/>
    <w:unhideWhenUsed/>
    <w:rsid w:val="00FE0978"/>
    <w:pPr>
      <w:spacing w:before="120" w:after="120"/>
      <w:ind w:left="850" w:hanging="737"/>
    </w:pPr>
    <w:rPr>
      <w:rFonts w:asciiTheme="majorHAnsi" w:hAnsiTheme="majorHAnsi" w:cs="Libertinus Sans (Corpo)"/>
      <w:b/>
      <w:bCs/>
      <w:color w:val="354152" w:themeColor="text2"/>
      <w:szCs w:val="20"/>
    </w:rPr>
  </w:style>
  <w:style w:type="paragraph" w:styleId="TOC3">
    <w:name w:val="toc 3"/>
    <w:basedOn w:val="Normal"/>
    <w:next w:val="Normal"/>
    <w:autoRedefine/>
    <w:uiPriority w:val="39"/>
    <w:unhideWhenUsed/>
    <w:rsid w:val="00FE0978"/>
    <w:pPr>
      <w:spacing w:before="0" w:after="0"/>
      <w:ind w:left="1021" w:hanging="794"/>
    </w:pPr>
    <w:rPr>
      <w:rFonts w:asciiTheme="majorHAnsi" w:hAnsiTheme="majorHAnsi" w:cs="Libertinus Sans (Corpo)"/>
      <w:color w:val="354152" w:themeColor="text2"/>
      <w:szCs w:val="20"/>
    </w:rPr>
  </w:style>
  <w:style w:type="paragraph" w:styleId="TOCHeading">
    <w:name w:val="TOC Heading"/>
    <w:basedOn w:val="Normal"/>
    <w:next w:val="Normal"/>
    <w:uiPriority w:val="39"/>
    <w:unhideWhenUsed/>
    <w:qFormat/>
    <w:rsid w:val="0051656D"/>
    <w:pPr>
      <w:pageBreakBefore/>
      <w:spacing w:after="0"/>
      <w:contextualSpacing/>
    </w:pPr>
    <w:rPr>
      <w:rFonts w:eastAsiaTheme="majorEastAsia" w:cstheme="minorHAnsi"/>
      <w:b/>
      <w:color w:val="354152" w:themeColor="text2"/>
      <w:spacing w:val="-10"/>
      <w:kern w:val="28"/>
      <w:sz w:val="36"/>
      <w:szCs w:val="56"/>
    </w:rPr>
  </w:style>
  <w:style w:type="character" w:customStyle="1" w:styleId="UnresolvedMention">
    <w:name w:val="Unresolved Mention"/>
    <w:basedOn w:val="DefaultParagraphFont"/>
    <w:uiPriority w:val="99"/>
    <w:semiHidden/>
    <w:unhideWhenUsed/>
    <w:rsid w:val="00AF7486"/>
    <w:rPr>
      <w:color w:val="605E5C"/>
      <w:shd w:val="clear" w:color="auto" w:fill="E1DFDD"/>
    </w:rPr>
  </w:style>
  <w:style w:type="paragraph" w:customStyle="1" w:styleId="Disclaimer">
    <w:name w:val="Disclaimer"/>
    <w:basedOn w:val="Normal"/>
    <w:qFormat/>
    <w:rsid w:val="00A15790"/>
    <w:pPr>
      <w:autoSpaceDE w:val="0"/>
      <w:autoSpaceDN w:val="0"/>
      <w:adjustRightInd w:val="0"/>
      <w:spacing w:before="0" w:after="0"/>
    </w:pPr>
    <w:rPr>
      <w:rFonts w:cstheme="minorHAnsi"/>
      <w:i/>
      <w:iCs/>
      <w:color w:val="auto"/>
      <w:szCs w:val="24"/>
      <w14:numForm w14:val="default"/>
    </w:rPr>
  </w:style>
  <w:style w:type="character" w:customStyle="1" w:styleId="Heading5Char">
    <w:name w:val="Heading 5 Char"/>
    <w:basedOn w:val="DefaultParagraphFont"/>
    <w:link w:val="Heading5"/>
    <w:uiPriority w:val="9"/>
    <w:rsid w:val="00AC38A9"/>
    <w:rPr>
      <w:rFonts w:asciiTheme="majorHAnsi" w:eastAsiaTheme="majorEastAsia" w:hAnsiTheme="majorHAnsi" w:cstheme="majorBidi"/>
      <w:iCs/>
      <w:color w:val="234B98" w:themeColor="accent1"/>
      <w:spacing w:val="-10"/>
      <w:kern w:val="28"/>
      <w:sz w:val="24"/>
      <w:szCs w:val="24"/>
      <w14:numForm w14:val="lining"/>
    </w:rPr>
  </w:style>
  <w:style w:type="paragraph" w:customStyle="1" w:styleId="CoverTitle">
    <w:name w:val="Cover Title"/>
    <w:qFormat/>
    <w:rsid w:val="0051656D"/>
    <w:pPr>
      <w:spacing w:before="240" w:after="120" w:line="240" w:lineRule="auto"/>
    </w:pPr>
    <w:rPr>
      <w:rFonts w:eastAsiaTheme="minorEastAsia" w:cstheme="minorHAnsi"/>
      <w:b/>
      <w:color w:val="E9E3DA" w:themeColor="accent3"/>
      <w:sz w:val="48"/>
      <w:szCs w:val="118"/>
      <w:lang w:val="en-US"/>
    </w:rPr>
  </w:style>
  <w:style w:type="paragraph" w:customStyle="1" w:styleId="CoverSubtitle">
    <w:name w:val="Cover Subtitle"/>
    <w:qFormat/>
    <w:rsid w:val="0049308A"/>
    <w:pPr>
      <w:spacing w:after="0"/>
    </w:pPr>
    <w:rPr>
      <w:rFonts w:asciiTheme="majorHAnsi" w:eastAsiaTheme="minorEastAsia" w:hAnsiTheme="majorHAnsi"/>
      <w:color w:val="E9E3DA" w:themeColor="accent3"/>
      <w:sz w:val="36"/>
      <w:szCs w:val="36"/>
      <w:lang w:val="it-IT"/>
    </w:rPr>
  </w:style>
  <w:style w:type="character" w:styleId="PageNumber">
    <w:name w:val="page number"/>
    <w:basedOn w:val="DefaultParagraphFont"/>
    <w:uiPriority w:val="99"/>
    <w:semiHidden/>
    <w:unhideWhenUsed/>
    <w:rsid w:val="00302E24"/>
  </w:style>
  <w:style w:type="paragraph" w:customStyle="1" w:styleId="Testnotedichiusura">
    <w:name w:val="Test note di chiusura"/>
    <w:basedOn w:val="EndnoteText"/>
    <w:qFormat/>
    <w:rsid w:val="00401652"/>
    <w:rPr>
      <w:lang w:val="it-IT"/>
    </w:rPr>
  </w:style>
  <w:style w:type="paragraph" w:styleId="NormalWeb">
    <w:name w:val="Normal (Web)"/>
    <w:basedOn w:val="Normal"/>
    <w:uiPriority w:val="99"/>
    <w:semiHidden/>
    <w:unhideWhenUsed/>
    <w:rsid w:val="000A135D"/>
    <w:pPr>
      <w:spacing w:before="100" w:beforeAutospacing="1" w:after="100" w:afterAutospacing="1"/>
    </w:pPr>
    <w:rPr>
      <w:rFonts w:ascii="Times New Roman" w:eastAsia="Times New Roman" w:hAnsi="Times New Roman" w:cs="Times New Roman"/>
      <w:color w:val="auto"/>
      <w:szCs w:val="24"/>
      <w:lang w:val="en-GB" w:eastAsia="en-GB"/>
      <w14:numForm w14:val="default"/>
    </w:rPr>
  </w:style>
  <w:style w:type="character" w:styleId="CommentReference">
    <w:name w:val="annotation reference"/>
    <w:basedOn w:val="DefaultParagraphFont"/>
    <w:uiPriority w:val="99"/>
    <w:semiHidden/>
    <w:unhideWhenUsed/>
    <w:rsid w:val="004538F7"/>
    <w:rPr>
      <w:sz w:val="16"/>
      <w:szCs w:val="16"/>
    </w:rPr>
  </w:style>
  <w:style w:type="paragraph" w:styleId="CommentText">
    <w:name w:val="annotation text"/>
    <w:basedOn w:val="Normal"/>
    <w:link w:val="CommentTextChar"/>
    <w:uiPriority w:val="99"/>
    <w:semiHidden/>
    <w:unhideWhenUsed/>
    <w:rsid w:val="004538F7"/>
    <w:rPr>
      <w:sz w:val="20"/>
      <w:szCs w:val="20"/>
    </w:rPr>
  </w:style>
  <w:style w:type="character" w:customStyle="1" w:styleId="CommentTextChar">
    <w:name w:val="Comment Text Char"/>
    <w:basedOn w:val="DefaultParagraphFont"/>
    <w:link w:val="CommentText"/>
    <w:uiPriority w:val="99"/>
    <w:semiHidden/>
    <w:rsid w:val="004538F7"/>
    <w:rPr>
      <w:color w:val="000000" w:themeColor="text1"/>
      <w:sz w:val="20"/>
      <w:szCs w:val="20"/>
      <w:lang w:val="en-US"/>
      <w14:numForm w14:val="lining"/>
    </w:rPr>
  </w:style>
  <w:style w:type="paragraph" w:styleId="CommentSubject">
    <w:name w:val="annotation subject"/>
    <w:basedOn w:val="CommentText"/>
    <w:next w:val="CommentText"/>
    <w:link w:val="CommentSubjectChar"/>
    <w:uiPriority w:val="99"/>
    <w:semiHidden/>
    <w:unhideWhenUsed/>
    <w:rsid w:val="004538F7"/>
    <w:rPr>
      <w:b/>
      <w:bCs/>
    </w:rPr>
  </w:style>
  <w:style w:type="character" w:customStyle="1" w:styleId="CommentSubjectChar">
    <w:name w:val="Comment Subject Char"/>
    <w:basedOn w:val="CommentTextChar"/>
    <w:link w:val="CommentSubject"/>
    <w:uiPriority w:val="99"/>
    <w:semiHidden/>
    <w:rsid w:val="004538F7"/>
    <w:rPr>
      <w:b/>
      <w:bCs/>
      <w:color w:val="000000" w:themeColor="text1"/>
      <w:sz w:val="20"/>
      <w:szCs w:val="20"/>
      <w:lang w:val="en-US"/>
      <w14:numForm w14:val="lining"/>
    </w:rPr>
  </w:style>
  <w:style w:type="paragraph" w:styleId="Revision">
    <w:name w:val="Revision"/>
    <w:hidden/>
    <w:uiPriority w:val="99"/>
    <w:semiHidden/>
    <w:rsid w:val="00633C65"/>
    <w:pPr>
      <w:spacing w:after="0" w:line="240" w:lineRule="auto"/>
    </w:pPr>
    <w:rPr>
      <w:color w:val="000000" w:themeColor="text1"/>
      <w:sz w:val="24"/>
      <w:lang w:val="en-US"/>
      <w14:numForm w14:val="lining"/>
    </w:rPr>
  </w:style>
  <w:style w:type="character" w:styleId="FollowedHyperlink">
    <w:name w:val="FollowedHyperlink"/>
    <w:basedOn w:val="DefaultParagraphFont"/>
    <w:uiPriority w:val="99"/>
    <w:semiHidden/>
    <w:unhideWhenUsed/>
    <w:rsid w:val="00741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02304">
      <w:bodyDiv w:val="1"/>
      <w:marLeft w:val="0"/>
      <w:marRight w:val="0"/>
      <w:marTop w:val="0"/>
      <w:marBottom w:val="0"/>
      <w:divBdr>
        <w:top w:val="none" w:sz="0" w:space="0" w:color="auto"/>
        <w:left w:val="none" w:sz="0" w:space="0" w:color="auto"/>
        <w:bottom w:val="none" w:sz="0" w:space="0" w:color="auto"/>
        <w:right w:val="none" w:sz="0" w:space="0" w:color="auto"/>
      </w:divBdr>
    </w:div>
    <w:div w:id="871460749">
      <w:bodyDiv w:val="1"/>
      <w:marLeft w:val="0"/>
      <w:marRight w:val="0"/>
      <w:marTop w:val="0"/>
      <w:marBottom w:val="0"/>
      <w:divBdr>
        <w:top w:val="none" w:sz="0" w:space="0" w:color="auto"/>
        <w:left w:val="none" w:sz="0" w:space="0" w:color="auto"/>
        <w:bottom w:val="none" w:sz="0" w:space="0" w:color="auto"/>
        <w:right w:val="none" w:sz="0" w:space="0" w:color="auto"/>
      </w:divBdr>
    </w:div>
    <w:div w:id="1871911901">
      <w:bodyDiv w:val="1"/>
      <w:marLeft w:val="0"/>
      <w:marRight w:val="0"/>
      <w:marTop w:val="0"/>
      <w:marBottom w:val="0"/>
      <w:divBdr>
        <w:top w:val="none" w:sz="0" w:space="0" w:color="auto"/>
        <w:left w:val="none" w:sz="0" w:space="0" w:color="auto"/>
        <w:bottom w:val="none" w:sz="0" w:space="0" w:color="auto"/>
        <w:right w:val="none" w:sz="0" w:space="0" w:color="auto"/>
      </w:divBdr>
    </w:div>
    <w:div w:id="2085714912">
      <w:bodyDiv w:val="1"/>
      <w:marLeft w:val="0"/>
      <w:marRight w:val="0"/>
      <w:marTop w:val="0"/>
      <w:marBottom w:val="0"/>
      <w:divBdr>
        <w:top w:val="none" w:sz="0" w:space="0" w:color="auto"/>
        <w:left w:val="none" w:sz="0" w:space="0" w:color="auto"/>
        <w:bottom w:val="none" w:sz="0" w:space="0" w:color="auto"/>
        <w:right w:val="none" w:sz="0" w:space="0" w:color="auto"/>
      </w:divBdr>
    </w:div>
    <w:div w:id="21371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54152"/>
      </a:dk2>
      <a:lt2>
        <a:srgbClr val="E7E6E6"/>
      </a:lt2>
      <a:accent1>
        <a:srgbClr val="234B98"/>
      </a:accent1>
      <a:accent2>
        <a:srgbClr val="F1C065"/>
      </a:accent2>
      <a:accent3>
        <a:srgbClr val="E9E3DA"/>
      </a:accent3>
      <a:accent4>
        <a:srgbClr val="4F5357"/>
      </a:accent4>
      <a:accent5>
        <a:srgbClr val="E1876F"/>
      </a:accent5>
      <a:accent6>
        <a:srgbClr val="7E939C"/>
      </a:accent6>
      <a:hlink>
        <a:srgbClr val="0563C1"/>
      </a:hlink>
      <a:folHlink>
        <a:srgbClr val="954F72"/>
      </a:folHlink>
    </a:clrScheme>
    <a:fontScheme name="EDPS">
      <a:majorFont>
        <a:latin typeface="Verdana"/>
        <a:ea typeface=""/>
        <a:cs typeface=""/>
      </a:majorFont>
      <a:minorFont>
        <a:latin typeface="Libertinus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Florence Dose"/>
    <f:field ref="FSCFOLIO_1_1001_FieldCurrentDate" text="19/12/22 13:32"/>
    <f:field ref="objvalidfrom" date="" text="" edit="true"/>
    <f:field ref="objvalidto" date="" text="" edit="true"/>
    <f:field ref="FSCFOLIO_1_1001_FieldReleasedVersionDate" text=""/>
    <f:field ref="FSCFOLIO_1_1001_FieldReleasedVersionNr" text=""/>
    <f:field ref="casefile_EDPSOM_103_3700_FieldCaseNumber" text="2022-1107"/>
    <f:field ref="casefile_EDPSOM_103_3700_FieldTitle" text="Regulation as regards instant credit transfers in euro"/>
    <f:field ref="casefile_EDPSOM_103_3700_FieldClass" text="04.01.01 Consultation on legislative proposals (Art. 42(1))"/>
    <f:field ref="casefile_EDPSOM_103_3700_FieldInitiator" text="DEPREZ Martine"/>
    <f:field ref="casefile_EDPSOM_103_3700_FieldInterinstitutional" text=""/>
    <f:field ref="EDPSOM_103_3700_FieldSensitivity" text="Normal"/>
    <f:field ref="EDPSOM_103_3700_FieldExternalRef" text="" edit="true"/>
    <f:field ref="EDPSOM_103_3700_FieldDescription" text="" edit="true"/>
    <f:field ref="objname" text="2022-1107 D3051 Opinion" edit="true"/>
    <f:field ref="objsubject" text="" edit="true"/>
    <f:field ref="objcreatedby" text="Jimenez Menendez, Ana Sofia"/>
    <f:field ref="objcreatedat" date="2022-12-19T10:31:26" text="19/12/22 10:31:26"/>
    <f:field ref="objchangedby" text="Jimenez Menendez, Ana Sofia"/>
    <f:field ref="objmodifiedat" date="2022-12-19T10:37:46" text="19/12/22 10:37:46"/>
  </f:record>
  <f:display text="Mail Merge">
    <f:field ref="doc_FSCFOLIO_1_1001_FieldDocumentNumber" text="Document Number"/>
    <f:field ref="doc_FSCFOLIO_1_1001_FieldSubject" text="Subject"/>
  </f:display>
  <f:display text="Signatures">
    <f:field ref="FSCFOLIO_1_1001_SignaturesFldCtx_FSCFOLIO_1_1001_FieldLastSignature" text="Last Signature"/>
    <f:field ref="FSCFOLIO_1_1001_SignaturesFldCtx_FSCFOLIO_1_1001_FieldLastSignatureBy" text="Last Signature By"/>
    <f:field ref="FSCFOLIO_1_1001_SignaturesFldCtx_FSCFOLIO_1_1001_FieldLastSignatureAt" text="Last Signature on/at"/>
    <f:field ref="FSCFOLIO_1_1001_SignaturesFldCtx_FSCFOLIO_1_1001_FieldLastSignatureRemark" text="Remark of Last Signature"/>
  </f:display>
  <f:display text="General">
    <f:field ref="FSCFOLIO_1_1001_FieldCurrentUser" text="Current User"/>
    <f:field ref="FSCFOLIO_1_1001_FieldCurrentDate" text="Current Time Stamp"/>
    <f:field ref="objvalidfrom" text="Valid From" dateonly="true"/>
    <f:field ref="objvalidto" text="Valid Until" dateonly="true"/>
    <f:field ref="FSCFOLIO_1_1001_FieldReleasedVersionDate" text="Released Version Date"/>
    <f:field ref="FSCFOLIO_1_1001_FieldReleasedVersionNr" text="Released Version Number"/>
    <f:field ref="EDPSOM_103_3700_FieldSensitivity" text="Sensitivity"/>
    <f:field ref="EDPSOM_103_3700_FieldExternalRef" text="Sender's reference"/>
    <f:field ref="EDPSOM_103_3700_FieldDescription" text="Description"/>
    <f:field ref="objname" text="Name"/>
    <f:field ref="objsubject" text="Subject"/>
    <f:field ref="objcreatedby" text="Created by"/>
    <f:field ref="objcreatedat" text="Created on/at"/>
    <f:field ref="objchangedby" text="Last Change by"/>
    <f:field ref="objmodifiedat" text="Last Change on/at"/>
  </f:display>
  <f:display text="Case file">
    <f:field ref="casefile_EDPSOM_103_3700_FieldCaseNumber" text="Case number"/>
    <f:field ref="casefile_EDPSOM_103_3700_FieldTitle" text="Title"/>
    <f:field ref="casefile_EDPSOM_103_3700_FieldClass" text="Class"/>
    <f:field ref="casefile_EDPSOM_103_3700_FieldInitiator" text="Initiator"/>
    <f:field ref="casefile_EDPSOM_103_3700_FieldInterinstitutional" text="Interinstitutional numb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1FB3D3C-087B-4ADF-A55F-28C8A6CC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2022-12-21T08:22:00Z</dcterms:created>
  <dcterms:modified xsi:type="dcterms:W3CDTF">2022-12-21T08:22:00Z</dcterms:modified>
</cp:coreProperties>
</file>